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44"/>
        </w:rPr>
        <w:t>BAHBench 复现数据整理 最终版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21"/>
        </w:rPr>
        <w:t>数据清单、论文版 Transformer、LoRA 秩扫描、论文表 III 对照与复现缺口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 w:val="0"/>
          <w:color w:val="646464"/>
          <w:sz w:val="17"/>
        </w:rPr>
        <w:t>整理日期：2026-09-21。结果来源：AutoDL Host 002 /root/bahbench-repro/results。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文档结论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>当前已完成三轮实验：论文版 Transformer 的 3 个模型 × 3 个任务、HuBERT-base 的 LoRA 秩扫描 r=2,4,8,16，以及自动曲线图。复现结构已经对齐到“冻结编码器 → 768 维投影 → 单层 Transformer → 分类头”，但数据版本、官方 split、音频截断和完整模型矩阵仍未对齐，因此数值比较必须标注为近似比较。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>最接近论文的是 TORGO：HuBERT-base Transformer 的 WF1 为 0.9606，LoRA r=16 达到 0.9911，与论文最佳 TORGO 结果 0.991 基本一致。ICBHI 仍明显偏低，最好 LoRA r=2 的 WF1 为 0.8890，论文 HuBERT-base 为 0.930。SEP-28k 的 LoRA r=16 为 0.7911，高于论文 HuBERT-base 0.747，但当前数据不是完整 SEP-28k，UA 仍偏低。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一、数据清单与状态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论文任务</w:t>
            </w:r>
          </w:p>
        </w:tc>
        <w:tc>
          <w:tcPr>
            <w:tcW w:type="dxa" w:w="30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云端数据</w:t>
            </w:r>
          </w:p>
        </w:tc>
        <w:tc>
          <w:tcPr>
            <w:tcW w:type="dxa" w:w="208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数量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标签</w:t>
            </w:r>
          </w:p>
        </w:tc>
        <w:tc>
          <w:tcPr>
            <w:tcW w:type="dxa" w:w="165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当前状态</w:t>
            </w:r>
          </w:p>
        </w:tc>
        <w:tc>
          <w:tcPr>
            <w:tcW w:type="dxa" w:w="475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Snore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ESC-50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2,000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50 类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部分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仅为 Snore 来源之一，缺 Kaggle 与 12,000 条二分类版本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/root/autodl-tmp/extra/icbhi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920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8 类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完整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随机 split：642/134/144；论文为 539/381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MSTI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/root/autodl-tmp/raw/msti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6,661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无类别列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阻塞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有音频和转写，缺官方 25 类标签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/root/autodl-tmp/extra/torgo/wav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8,990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2 类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可用但口径不同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论文为 8,216；当前 split 6292/1347/1351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/root/autodl-tmp/bahbench-data/SEP-28k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8,800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2 类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部分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论文约 27,922；当前 split 6159/1319/1322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FluSense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仅标注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 音频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9 类标注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阻塞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官方音频未入云端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非论文数据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Speech Commands / CoughVid / Coswara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64,727 / 10,833 / 23,638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多类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代理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不属于 BAHBench 六任务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03920" cy="451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adi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51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16"/>
        </w:rPr>
        <w:t>图 1  六任务数据就绪度：音频、标签、论文样本量与论文 split 的覆盖情况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二、复现协议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08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组件</w:t>
            </w:r>
          </w:p>
        </w:tc>
        <w:tc>
          <w:tcPr>
            <w:tcW w:type="dxa" w:w="784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实现</w:t>
            </w:r>
          </w:p>
        </w:tc>
        <w:tc>
          <w:tcPr>
            <w:tcW w:type="dxa" w:w="208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是否符合论文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基础模型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冻结 HuBERT/wav2vec2 权重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是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下游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投影到 768 → 单层标准 Transformer → 分类头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是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Transformer 层数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num_layers=1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是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Transformer 参数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nhead=8，dim_feedforward=3072，dropout=0.5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是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训练参数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batch=32，epochs=50，lr=5e-4，weight_decay=1e-2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是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LoRA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Q/K/V，B 初始化为 0，只训练 LoRA 与下游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方向一致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split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70%/15%/15% 分层随机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否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音频长度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统一截到 6 秒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否，论文未明确截断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手工特征</w:t>
            </w:r>
          </w:p>
        </w:tc>
        <w:tc>
          <w:tcPr>
            <w:tcW w:type="dxa" w:w="78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27 维简化声学特征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否，论文为 eGeMAPS/ComParE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三、实验目的与对比点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08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实验组</w:t>
            </w:r>
          </w:p>
        </w:tc>
        <w:tc>
          <w:tcPr>
            <w:tcW w:type="dxa" w:w="28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目的</w:t>
            </w:r>
          </w:p>
        </w:tc>
        <w:tc>
          <w:tcPr>
            <w:tcW w:type="dxa" w:w="604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对比点</w:t>
            </w:r>
          </w:p>
        </w:tc>
        <w:tc>
          <w:tcPr>
            <w:tcW w:type="dxa" w:w="338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当前数据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论文版 Transformer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复现论文统一主结构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HuBERT-base vs wav2vec2-base vs wav2vec2-large；与论文表 III 同模型比较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TORGO / SEP-28k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论文差异标记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判断复现数值是否对齐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当前 WF1 减论文 WF1，按 ±2pp 标记接近/偏低/偏高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3 任务 × 3 模型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base vs large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验证大模型是否一定更好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同任务比较 wav2vec2-base 与 wav2vec2-large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TORGO / SEP-28k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任务类型对比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验证声学类与语义类任务差异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ICBHI、TORGO 与 SEP-28k 的 WA/UA/WF1 走势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3 个任务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LoRA 秩扫描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验证容量-性能拐点与 UA 退化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同一模型/任务下比较 r=2,4,8,16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TORGO / SEP-28k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数据就绪度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解释为什么不能严格对表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论文样本量与 split vs 当前数据状态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6 个论文任务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四、论文版 Transformer 完整结果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15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任务</w:t>
            </w:r>
          </w:p>
        </w:tc>
        <w:tc>
          <w:tcPr>
            <w:tcW w:type="dxa" w:w="259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模型</w:t>
            </w:r>
          </w:p>
        </w:tc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WA</w:t>
            </w:r>
          </w:p>
        </w:tc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UA</w:t>
            </w:r>
          </w:p>
        </w:tc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WF1</w:t>
            </w:r>
          </w:p>
        </w:tc>
        <w:tc>
          <w:tcPr>
            <w:tcW w:type="dxa" w:w="223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论文 WA/UA/WF1</w:t>
            </w:r>
          </w:p>
        </w:tc>
        <w:tc>
          <w:tcPr>
            <w:tcW w:type="dxa" w:w="115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ΔWF1</w:t>
            </w:r>
          </w:p>
        </w:tc>
        <w:tc>
          <w:tcPr>
            <w:tcW w:type="dxa" w:w="216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对照标记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HuBERT-base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0.8472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0.2241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0.8281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0.924/0.326/0.930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-10.19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wav2vec2-base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0.3223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0.8682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0.911/0.240/0.903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-3.48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wav2vec2-large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0.1250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0.7576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0.916/0.200/0.876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-11.84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HuBERT-base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0.9608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0.9509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0.9606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0.979/0.976/0.979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-1.84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wav2vec2-base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0.9408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0.9399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0.9412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0.902/0.887/0.901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+4.02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wav2vec2-large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0.8934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0.8830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0.8940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0.858/0.841/0.857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+3.70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HuBERT-base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0.7481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0.6283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0.7344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0.747/0.740/0.747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-1.26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wav2vec2-base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0.7262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0.6088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0.7149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0.692/0.693/0.693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+2.19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wav2vec2-large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0.7413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0.5000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0.6312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0.732/0.710/0.724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-9.28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215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rozen_by_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21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16"/>
        </w:rPr>
        <w:t>图 2  论文版 Transformer 在 ICBHI、TORGO、SEP-28k 上的 WA/UA/WF1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五、与原论文表 III 对照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>标记规则：WF1 差异在 ±2pp 内标为“接近论文”；负值标为低于论文；正值标为高于论文但口径不同。当前结果的数据版本和 split 与论文不同，不能把差值全部归因于结构或模型。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49440" cy="3698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f1_ga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16"/>
        </w:rPr>
        <w:t>图 3  当前论文版 Transformer 相对论文表 III 的 ΔWF1 热力图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六、LoRA 秩扫描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>对象：HuBERT-base + 论文版 Transformer + LoRA Q/K/V。秩范围：2、4、8、16。每个实验均使用 50 epoch、batch 32。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任务</w:t>
            </w:r>
          </w:p>
        </w:tc>
        <w:tc>
          <w:tcPr>
            <w:tcW w:type="dxa" w:w="115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秩 r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UA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WF1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0.3952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0.8890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0.8502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0.3055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0.8603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0.3560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0.8698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0.9882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0.9870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0.9882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0.9874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0.9858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0.9874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0.9863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0.9889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0.9911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0.9898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0.9911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0.7844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0.6833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0.7751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0.7905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0.6664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0.7730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0.7920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0.6979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0.7844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0.8011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0.7002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0.7911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21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rank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21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16"/>
        </w:rPr>
        <w:t>图 4  ICBHI、TORGO、SEP-28k 的 LoRA 秩扫描曲线，圆点标出最佳 WF1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79" cy="4053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best_vs_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405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16"/>
        </w:rPr>
        <w:t>图 5  每个任务最佳 LoRA WF1 与论文 HuBERT-base WF1 对比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七、关键结论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19"/>
        </w:rPr>
        <w:t>• TORGO 最好：LoRA r=16 的 WF1=0.9911，达到论文 TORGO 最佳 0.991 的水平。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19"/>
        </w:rPr>
        <w:t>• ICBHI 仍偏弱：LoRA 最佳 r=2 的 WF1=0.8890，低于论文 HuBERT-base 0.930，且 UA 仅 0.3952，类别不平衡仍严重。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19"/>
        </w:rPr>
        <w:t>• SEP-28k 有提升：LoRA r=16 的 WF1=0.7911，高于论文 HuBERT-base 0.747，但 UA 为 0.7002，低于论文 0.740。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19"/>
        </w:rPr>
        <w:t>• 秩趋势不是单调提升：ICBHI 最佳 r=2，TORGO/SEP-28k 最佳 r=16；论文所谓 r=16 只是经验拐点，不是普适常数。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19"/>
        </w:rPr>
        <w:t>• 当前结果只能作为结构对齐后的近似复现；官方 split、完整数据量和完整模型矩阵仍未完成。</w:t>
      </w: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八、复现缺口与优先级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优先级</w:t>
            </w:r>
          </w:p>
        </w:tc>
        <w:tc>
          <w:tcPr>
            <w:tcW w:type="dxa" w:w="244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缺口</w:t>
            </w:r>
          </w:p>
        </w:tc>
        <w:tc>
          <w:tcPr>
            <w:tcW w:type="dxa" w:w="46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影响</w:t>
            </w:r>
          </w:p>
        </w:tc>
        <w:tc>
          <w:tcPr>
            <w:tcW w:type="dxa" w:w="676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P0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官方 split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数值不可严格对表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539/381；TORGO 6572/1644；SEP 24922/2000/1000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P0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音频截断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10–90 秒被截为 6 秒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按论文口径取消或调整截断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P0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逐层 Transformer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图 2/3 的层偏好未完整复现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用 --layer 扫描每一层，而不是线性探针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P1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手工特征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表 III 手工特征行不可比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补 eGeMAPS 88 维、ComParE-2016 6373 维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P1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完整模型矩阵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只有 3/12 个基础模型配置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补 OPERA-CT、WavLM、Whisper、data2vec、CLAP、HuBERT-large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P1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统计稳定性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单次运行，缺少波动范围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多随机种子、mean±std、per-class 指标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P1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SOTA 对照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未复现表 IV 的任务专用方法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补 ICBHI、SEP-28k、FluSense 的 SOTA 对照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P2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六任务完整覆盖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Snore/MSTI/FluSense 阻塞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补数据或明确标注为不可复现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rFonts w:ascii="Microsoft YaHei" w:hAnsi="Microsoft YaHei" w:eastAsia="Microsoft YaHei"/>
          <w:b/>
          <w:i w:val="0"/>
          <w:color w:val="000000"/>
          <w:sz w:val="28"/>
        </w:rPr>
        <w:t>九、数据与结果文件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16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122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路径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结构化数据</w:t>
            </w:r>
          </w:p>
        </w:tc>
        <w:tc>
          <w:tcPr>
            <w:tcW w:type="dxa" w:w="12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D:/a/bahbench_doc/final_data/transformer_results.csv；lora_rank_results.csv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图表</w:t>
            </w:r>
          </w:p>
        </w:tc>
        <w:tc>
          <w:tcPr>
            <w:tcW w:type="dxa" w:w="12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D:/a/bahbench_doc/assets/final_*.png；data_readiness.png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最终文档</w:t>
            </w:r>
          </w:p>
        </w:tc>
        <w:tc>
          <w:tcPr>
            <w:tcW w:type="dxa" w:w="12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D:/a/bahbench_doc/BAHBench_复现数据整理_最终版.docx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云端代码</w:t>
            </w:r>
          </w:p>
        </w:tc>
        <w:tc>
          <w:tcPr>
            <w:tcW w:type="dxa" w:w="12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/root/bahbench-repro/src/paper_transformer.py；plot_rank_sweep.py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云端结果</w:t>
            </w:r>
          </w:p>
        </w:tc>
        <w:tc>
          <w:tcPr>
            <w:tcW w:type="dxa" w:w="12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/root/bahbench-repro/results/paper_transformer_*/；paper_transformer_lora_*/；plots/</w:t>
            </w:r>
          </w:p>
        </w:tc>
      </w:tr>
    </w:tbl>
    <w:p>
      <w:pPr>
        <w:spacing w:after="0"/>
      </w:pPr>
    </w:p>
    <w:sectPr w:rsidR="00FC693F" w:rsidRPr="0006063C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