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i w:val="0"/>
          <w:sz w:val="48"/>
        </w:rPr>
        <w:t>BAHBench 可复现性研究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sz w:val="28"/>
        </w:rPr>
        <w:t>论文版 Transformer 与 LoRA 秩消融实验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4"/>
        </w:rPr>
        <w:t>复现实验论文</w:t>
      </w:r>
    </w:p>
    <w:p>
      <w:pPr>
        <w:spacing w:before="600"/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0"/>
        </w:rPr>
        <w:t>基于 AutoDL RTX 3090 的 ICBHI、TORGO 与 SEP-28k 复现实验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787878"/>
          <w:sz w:val="18"/>
        </w:rPr>
        <w:t>代码版本：BAHBench_我的复现实验代码_20260921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摘要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本文复现 BAHBench 论文中可运行的核心实验，重点考察统一 Transformer 下游结构和 LoRA 秩消融。复现实现冻结 HuBERT-base、wav2vec2-base 和 wav2vec2-large 编码器，将音频表示投影到 768 维，并通过单层标准 Transformer 与线性分类头完成分类。实验在 ICBHI、TORGO 和 SEP-28k 三个任务上进行，统一报告 WA、UA 和 WF1。论文版 Transformer 结果显示，TORGO 与论文结果最接近，HuBERT-base 的 WF1 为 0.9606；ICBHI 仍存在明显的多数类偏置；SEP-28k 的 WA/WF1 接近论文，但 UA 偏低。LoRA 秩扫描表明最佳秩随任务变化：ICBHI 的最佳秩为 r=2，TORGO 和 SEP-28k 的最佳秩为 r=16，说明 r=16 不是跨任务的普适最优值。本文同时提供代码编号、运行脚本、SHA256 校验和输出路径，以提高复现透明度。由于当前数据版本、官方 split 和样本量尚未完全对齐，本文的数值结论均按近似复现处理。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/>
          <w:i w:val="0"/>
          <w:sz w:val="20"/>
        </w:rPr>
        <w:t>关键词：BAHBench；声学基础模型；Transformer；LoRA；可复现性；WA/UA/WF1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1 引言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BAHBench 将 Snore、ICBHI、MSTI、TORGO、SEP-28k 和 FluSense 六个健康相关音频任务放入统一下游框架，比较 12 个声学基础模型和两类手工特征。[1] 论文的核心价值在于统一数据划分、下游结构和评价指标，从而减少不同研究之间的协议差异。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本文聚焦当前已经具备可运行数据的三个任务：ICBHI、TORGO 和 SEP-28k。复现目标是验证论文的统一 Transformer 结构、比较 HuBERT 与 wav2vec2 系列模型，并分析 LoRA 秩对下游性能的影响。线性探针结果不纳入本文主实验，以免混淆论文主结构与辅助性线性分析。Code C1-C9 给出本文使用的全部复现代码。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2 方法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2.1 统一 Transformer 下游结构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基础模型权重被冻结，仅更新投影层、单层标准 Transformer 和分类头。[C1] 对输入音频 x，基础模型输出 h=f(x)，投影层将 h 映射到 d=768，Transformer 输出再送入分类器：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i w:val="0"/>
          <w:sz w:val="20"/>
        </w:rPr>
        <w:t>h_tilde = Transformer(Projection(h)); p = Classifier(h_tilde[0])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代码实现见 src/paper_transformer.py 中的 PaperTransformer 类 [C1]。下游只使用一层 TransformerEncoderLayer，不以多层堆叠替代论文结构。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2.2 LoRA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LoRA 将原始线性权重 W 冻结，仅训练低秩增量 BA，前向为 Wx+BAx。[C2] 本文把 LoRA 插入注意力 Q/K/V 投影，B 初始化为零，因此训练起点与原始模型一致。秩扫描范围为 r=2、4、8、16。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2.3 数据与评价指标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代码统一读取 16 kHz 音频 [C3]，评价指标按论文定义计算 WA、UA 和 WF1 [C4]。当前复现使用固定随机种子 0 的 70%/15%/15% 分层 split；论文使用各数据集固定 split。两者差异在结果解释中明确标注。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3 实验设置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80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82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设置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基础模型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facebook/hubert-base-ls960；facebook/wav2vec2-base；facebook/wav2vec2-large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任务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ICBHI（8 类）；TORGO（2 类）；SEP-28k（2 类）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下游结构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投影到 768 维；单层 Transformer；nhead=8；dim_feedforward=3072；dropout=0.5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训练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batch=32；epochs=50；AdamW；lr=5e-4；weight_decay=1e-2；seed=0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Q/K/V；r=2,4,8,16；B 初始化为 0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指标</w:t>
            </w:r>
          </w:p>
        </w:tc>
        <w:tc>
          <w:tcPr>
            <w:tcW w:type="dxa" w:w="82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WA、UA、WF1；并保存测试集 y_true/y_pred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30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readi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1  六任务数据就绪度：论文数据量、标签和 split 与当前数据的覆盖差异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4 复现结果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4.1 论文版 Transformer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01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任务 / 模型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WA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UA</w:t>
            </w:r>
          </w:p>
        </w:tc>
        <w:tc>
          <w:tcPr>
            <w:tcW w:type="dxa" w:w="1008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WF1</w:t>
            </w:r>
          </w:p>
        </w:tc>
        <w:tc>
          <w:tcPr>
            <w:tcW w:type="dxa" w:w="1944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论文 WA/UA/WF1</w:t>
            </w:r>
          </w:p>
        </w:tc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ΔWF1</w:t>
            </w:r>
          </w:p>
        </w:tc>
        <w:tc>
          <w:tcPr>
            <w:tcW w:type="dxa" w:w="165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标注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0.8472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0.2241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0.8281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0.924/0.326/0.930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-10.19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0.8750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0.3223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0.8682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0.911/0.240/0.903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-3.48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ICBHI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0.8333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0.1250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0.7576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0.916/0.200/0.876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-11.84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0.9509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0.9606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0.979/0.976/0.979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-1.84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0.9408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0.9399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0.9412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0.902/0.887/0.901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+4.02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TORGO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0.8934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0.8830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0.8940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0.858/0.841/0.857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+3.70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HuBERT-base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0.7481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0.6283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0.7344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0.747/0.740/0.747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-1.26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接近论文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wav2vec2-base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0.7262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0.6088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0.7149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0.692/0.693/0.693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+2.19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高于论文但口径不同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SEP-28k / wav2vec2-large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0.7413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0.5000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0.6312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0.732/0.710/0.724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-9.28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5"/>
              </w:rPr>
              <w:t>低于论文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214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rozen_by_t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2  论文版 Transformer 在三个任务上的 WA、UA、WF1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4.2 与论文表 III 的差异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图 3 给出当前结果与论文表 III 的 ΔWF1。TORGO 的 HuBERT-base 与论文差距最小；ICBHI 的 wav2vec2-large 低于论文 11.84 个百分点；SEP-28k 的 wav2vec2-large 低于论文 9.28 个百分点，且 UA 为 0.5000，说明模型退化为多数类预测。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074920" cy="2700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wf1_ga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7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3  当前论文版 Transformer 相对论文表 III 的 ΔWF1 热力图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4.3 LoRA 秩扫描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8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任务 / 秩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UA</w:t>
            </w:r>
          </w:p>
        </w:tc>
        <w:tc>
          <w:tcPr>
            <w:tcW w:type="dxa" w:w="144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WF1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0.3952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0.8890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0.8333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0.8502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0.3055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0.8603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ICBHI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0.8750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0.3560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0.8698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0.9858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0.9874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0.9863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0.9889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TORGO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0.9911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0.9898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0.9911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0.7844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0.6833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0.7751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0.7905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0.6664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0.7730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0.7920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0.6979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0.7844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SEP-28k / r=16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0.8011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0.7002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0.7911</w:t>
            </w:r>
          </w:p>
        </w:tc>
      </w:tr>
    </w:tbl>
    <w:p>
      <w:pPr>
        <w:spacing w:after="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2152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rank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1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4  论文版 Transformer 下的 LoRA 秩扫描曲线；圆点标出 WF1 最佳值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161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ora_best_vs_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6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5  三个任务的最佳 LoRA WF1 与论文 HuBERT-base 对比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LoRA 结果呈现明显任务依赖：ICBHI 最佳 r=2，WF1=0.8890；TORGO 最佳 r=16，WF1=0.9911；SEP-28k 最佳 r=16，WF1=0.7911。该结果说明秩饱和阈值不是固定常数。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b/>
          <w:i w:val="0"/>
          <w:sz w:val="24"/>
        </w:rPr>
        <w:t>4.4 混淆矩阵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图 6 给出三个任务和三个模型的归一化混淆矩阵。ICBHI 的非对角误差集中在少数类；TORGO 的对角线接近饱和；SEP-28k 的少数类召回率较低。混淆矩阵由同一测试集预测生成，ICBHI 使用保存的 y_true/y_pred，TORGO 与 SEP-28k 由二分类 per-class 指标精确还原。[C6]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217920" cy="5465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6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i w:val="0"/>
          <w:color w:val="505050"/>
          <w:sz w:val="16"/>
        </w:rPr>
        <w:t>图 6  ICBHI、TORGO、SEP-28k 的归一化混淆矩阵网格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5 讨论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本文复现支持论文的若干方向性结论。第一，领域相关的 TORGO 任务中 HuBERT-base 已接近论文水平；第二，ICBHI 的 WA 与 UA 分岔重现了类不平衡问题；第三，LoRA 的最佳秩随任务变化，支持“秩不是固定越大越好”的结论；第四，SEP-28k 的结果表明 WF1 提高并不必然伴随少数类召回提升。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但仍存在明显的协议差异。当前代码使用固定 seed 的分层 split，而论文使用各数据集官方或论文固定 split；ICBHI 当前测试集为 144 条，论文为 381 条；TORGO 当前为 8,990 条，论文为 8,216 条；SEP-28k 当前只有 8,800 条，论文约 27,922 条。此外，当前音频被截断到 6 秒，论文未明确采用同样处理。因此本文结果主要用于机制和趋势比较，不能视为严格数值复现。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6 复现实验代码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080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代码编号</w:t>
            </w:r>
          </w:p>
        </w:tc>
        <w:tc>
          <w:tcPr>
            <w:tcW w:type="dxa" w:w="3096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文件</w:t>
            </w:r>
          </w:p>
        </w:tc>
        <w:tc>
          <w:tcPr>
            <w:tcW w:type="dxa" w:w="5832"/>
            <w:shd w:fill="365F9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src/paper_transformer.py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论文版 Transformer、frozen/LoRA/full、预测保存、官方 layer 选择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C2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src/lora.py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LoRALinear、Q/K/V 注入、B 零初始化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C3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src/common.py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16 kHz 音频读取、manifest、split_by_label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C4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src/metrics.py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WA/UA/WF1 计算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C5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src/plot_rank_sweep.py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 秩曲线和 WF1 汇总图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C6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src/make_confusion_matrices.py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二分类/多分类混淆矩阵和网格图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C7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experiments/01_paper_transformer/run.sh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三模型 × 三任务 Transformer 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C8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experiments/02_lora_rank_sweep/run.sh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LoRA r=2,4,8,16 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C9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experiments/03_confusion_matrices/run.sh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混淆矩阵复现命令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CODE_MANIFEST.sha256</w:t>
            </w:r>
          </w:p>
        </w:tc>
        <w:tc>
          <w:tcPr>
            <w:tcW w:type="dxa" w:w="58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6"/>
              </w:rPr>
              <w:t>代码文件 SHA256 校验清单</w:t>
            </w:r>
          </w:p>
        </w:tc>
      </w:tr>
    </w:tbl>
    <w:p>
      <w:pPr>
        <w:spacing w:after="0"/>
      </w:pP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完整代码包和结果摘要位于桌面 BAHBench_我的复现实验代码 目录，压缩包为 BAHBench_我的复现实验代码_20260921.zip。线性探针代码和结果未纳入本文主实验，已移入旧版归档。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7 局限与未来工作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未获得 BAHBench 作者公开代码，本文代码为按论文描述自主实现。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ICBHI、TORGO、SEP-28k 的数据版本和 split 尚不完全一致，数值只能近似比较。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当前只覆盖 HuBERT-base、wav2vec2-base、wav2vec2-large，未覆盖论文其余 9 个模型配置。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未实现真正 eGeMAPS 88 维和 ComParE-2016 6373 维。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未完成 OPERA-CT 的 64 Mel、64 ms 窗、32 ms 帧移前端。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当前为单随机种子结果，未来应报告 mean±std 和 per-class 置信区间。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• Snore、MSTI、FluSense 因数据或标签缺失尚未完成。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8 结论</w:t>
      </w:r>
    </w:p>
    <w:p>
      <w:pPr>
        <w:spacing w:after="100"/>
        <w:ind w:firstLine="317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本文给出了 BAHBench 论文版 Transformer 和 LoRA 秩扫描的可运行复现实验。代码层面已通过 frozen 与 LoRA 冒烟测试，实验结果复现了任务难度、类别不平衡和 LoRA 秩饱和的主要趋势。最接近论文的是 TORGO，ICBHI 仍有明显差距，SEP-28k 受数据完整性限制。本文提供了代码编号、配置、运行脚本、哈希校验和可视化结果，可作为后续严格复现与扩展实验的基线。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参考文献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[1] Xu W, Dong Z, Peng J, Wang R, Zhang Z. BAHBench: A Unified Benchmark for Evaluating Bio-Acoustic Health With Acoustic Foundation Models. IEEE Journal of Biomedical and Health Informatics, 2025, 29(7): 4897-4909.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[2] Baevski A, Zhou Y, Mohamed A, Auli M. wav2vec 2.0: A Framework for Self-Supervised Learning of Speech Representations. NeurIPS, 2020.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[3] Hsu W N, Bolte B, Tsai Y H H, et al. HuBERT: Self-Supervised Speech Representation Learning by Masked Prediction of Hidden Units. IEEE/ACM TASLP, 2021.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[4] Hu E J, Shen Y, Wallis P, et al. LoRA: Low-Rank Adaptation of Large Language Models. ICLR, 2022.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i w:val="0"/>
          <w:sz w:val="30"/>
        </w:rPr>
        <w:t>附录 A 复现命令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experiments/01_paper_transformer/run.sh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experiments/02_lora_rank_sweep/run.sh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python src/plot_rank_sweep.py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bash experiments/03_confusion_matrices/run.sh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代码包 ZIP：C:/Users/violet/Desktop/BAHBench_我的复现实验代码_20260921.zip</w:t>
      </w:r>
    </w:p>
    <w:p>
      <w:pPr>
        <w:spacing w:after="100"/>
        <w:jc w:val="both"/>
      </w:pPr>
      <w:r>
        <w:rPr>
          <w:rFonts w:ascii="Microsoft YaHei" w:hAnsi="Microsoft YaHei" w:eastAsia="Microsoft YaHei"/>
          <w:b w:val="0"/>
          <w:i w:val="0"/>
          <w:sz w:val="20"/>
        </w:rPr>
        <w:t>结果目录：results_summary/ 和 results/ 输出目录</w:t>
      </w: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