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8A020" w:sz="24"/>
        </w:pBdr>
        <w:shd w:fill="1B3A5C" w:val="clear"/>
        <w:spacing w:after="80" w:before="2880"/>
        <w:jc w:val="center"/>
      </w:pPr>
      <w:r>
        <w:rPr>
          <w:rFonts w:ascii="Arial" w:cs="Arial" w:eastAsia="Arial" w:hAnsi="Arial"/>
          <w:b/>
          <w:bCs/>
          <w:color w:val="FFFFFF"/>
          <w:sz w:val="52"/>
          <w:szCs w:val="52"/>
        </w:rPr>
        <w:t xml:space="preserve">PLAN DE ARQUITECTURA</w:t>
      </w:r>
    </w:p>
    <w:p>
      <w:pPr>
        <w:shd w:fill="1B3A5C" w:val="clear"/>
        <w:spacing w:after="80" w:before="0"/>
        <w:jc w:val="center"/>
      </w:pPr>
      <w:r>
        <w:rPr>
          <w:rFonts w:ascii="Arial" w:cs="Arial" w:eastAsia="Arial" w:hAnsi="Arial"/>
          <w:b/>
          <w:bCs/>
          <w:color w:val="E8A020"/>
          <w:sz w:val="40"/>
          <w:szCs w:val="40"/>
        </w:rPr>
        <w:t xml:space="preserve">INTRANET CORPORATIVA</w:t>
      </w:r>
    </w:p>
    <w:p>
      <w:pPr>
        <w:shd w:fill="1B3A5C" w:val="clear"/>
        <w:spacing w:after="480" w:before="0"/>
        <w:jc w:val="center"/>
      </w:pPr>
      <w:r>
        <w:rPr>
          <w:color w:val="D9E8F5"/>
          <w:sz w:val="26"/>
          <w:szCs w:val="26"/>
        </w:rPr>
        <w:t xml:space="preserve">Diseño Modular, Escalable e Integrable</w:t>
      </w:r>
    </w:p>
    <w:p>
      <w:pPr>
        <w:shd w:fill="1B3A5C" w:val="clear"/>
        <w:spacing w:after="80" w:before="0"/>
        <w:jc w:val="center"/>
      </w:pPr>
      <w:r>
        <w:rPr>
          <w:color w:val="D9E8F5"/>
          <w:sz w:val="22"/>
          <w:szCs w:val="22"/>
        </w:rPr>
        <w:t xml:space="preserve">Versión 1.0  ·  Abril 2026</w:t>
      </w:r>
    </w:p>
    <w:p>
      <w:pPr>
        <w:pBdr>
          <w:bottom w:val="single" w:color="E8A020" w:sz="24"/>
        </w:pBdr>
        <w:shd w:fill="1B3A5C" w:val="clear"/>
        <w:spacing w:after="2880" w:before="0"/>
        <w:jc w:val="center"/>
      </w:pPr>
      <w:r>
        <w:rPr>
          <w:color w:val="D9E8F5"/>
          <w:sz w:val="22"/>
          <w:szCs w:val="22"/>
        </w:rPr>
        <w:t xml:space="preserve">Arquitectura de Soluciones — ARM</w:t>
      </w:r>
    </w:p>
    <w:p>
      <w:r>
        <w:br w:type="page"/>
      </w:r>
    </w:p>
    <w:p>
      <w:pPr>
        <w:pStyle w:val="Heading1"/>
        <w:spacing w:after="200" w:before="240"/>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6"/>
        </w:pBdr>
        <w:spacing w:after="120" w:before="360"/>
      </w:pPr>
      <w:r>
        <w:t xml:space="preserve">1. Resumen Ejecutivo</w:t>
      </w:r>
    </w:p>
    <w:p>
      <w:pPr>
        <w:spacing w:after="60" w:before="60"/>
        <w:jc w:val="both"/>
      </w:pPr>
      <w:r>
        <w:rPr>
          <w:color w:val="4A4A4A"/>
          <w:sz w:val="22"/>
          <w:szCs w:val="22"/>
        </w:rPr>
        <w:t xml:space="preserve">Este documento presenta el plan exhaustivo de arquitectura para el desarrollo de una intranet corporativa de nueva generación. El sistema está concebido desde sus cimientos como una plataforma modular y escalable, capaz de integrarse fluidamente con sistemas empresariales externos y de evolucionar de forma orgánica conforme crezcan las necesidades de la organización.</w:t>
      </w:r>
    </w:p>
    <w:p>
      <w:pPr>
        <w:spacing w:after="60" w:before="60"/>
        <w:jc w:val="both"/>
      </w:pPr>
      <w:r>
        <w:rPr>
          <w:color w:val="4A4A4A"/>
          <w:sz w:val="22"/>
          <w:szCs w:val="22"/>
        </w:rPr>
        <w:t xml:space="preserve">La propuesta abarca el diseño completo del sistema: desde la selección de la pila tecnológica y la definición de la arquitectura de microservicios, hasta los protocolos de seguridad, la estrategia de APIs, el modelo de roles y permisos de granularidad fina, y la hoja de ruta de implementación por fases.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D9E8F5" w:val="clear"/>
            <w:tcMar>
              <w:top w:type="dxa" w:w="100"/>
              <w:left w:type="dxa" w:w="120"/>
              <w:bottom w:type="dxa" w:w="100"/>
              <w:right w:type="dxa" w:w="100"/>
            </w:tcMar>
          </w:tcPr>
          <w:p>
            <w:pPr>
              <w:jc w:val="center"/>
            </w:pPr>
            <w:r>
              <w:rPr>
                <w:b/>
                <w:bCs/>
                <w:color w:val="2E75B6"/>
                <w:sz w:val="20"/>
                <w:szCs w:val="20"/>
              </w:rPr>
              <w:t xml:space="preserve">OBJETIVO</w:t>
            </w:r>
          </w:p>
        </w:tc>
        <w:tc>
          <w:tcPr>
            <w:tcW w:type="dxa" w:w="8360"/>
            <w:tcBorders>
              <w:top w:val="none" w:color="FFFFFF" w:sz="0"/>
              <w:left w:val="single" w:color="2E75B6" w:sz="12"/>
              <w:bottom w:val="none" w:color="FFFFFF" w:sz="0"/>
              <w:right w:val="none" w:color="FFFFFF" w:sz="0"/>
            </w:tcBorders>
            <w:shd w:fill="D9E8F5" w:val="clear"/>
            <w:tcMar>
              <w:top w:type="dxa" w:w="100"/>
              <w:left w:type="dxa" w:w="160"/>
              <w:bottom w:type="dxa" w:w="100"/>
              <w:right w:type="dxa" w:w="120"/>
            </w:tcMar>
          </w:tcPr>
          <w:p>
            <w:pPr>
              <w:jc w:val="both"/>
            </w:pPr>
            <w:r>
              <w:rPr>
                <w:color w:val="4A4A4A"/>
                <w:sz w:val="21"/>
                <w:szCs w:val="21"/>
              </w:rPr>
              <w:t xml:space="preserve">Construir una intranet corporativa segura, escalable y altamente integrable que sirva como hub digital central para toda la organización, habilitando SSO, ABAC, auditoría completa y conectividad con plataformas externas como RRHH, gestión documental, organigramas dinámicos y estadísticas empresariales.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Alcance</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Desarrollo completo de la intranet — frontend, backend, infraestructura y seguridad</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Metodología</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Ágil (Scrum) con prácticas DevSecOps y entrega continua (CI/CD)</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Arquitectura</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Microservicios desacoplados con API Gateway y bus de eventos</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Horizonte</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Implementación en 4 fases — MVP en 6 meses, plataforma completa en 18 meses</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Modelo de acceso</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RBAC + ABAC con SSO (SAML 2.0 / OIDC) y MFA obligatorio</w:t>
            </w:r>
          </w:p>
        </w:tc>
      </w:tr>
    </w:tbl>
    <w:p>
      <w:r>
        <w:br w:type="page"/>
      </w:r>
    </w:p>
    <w:p>
      <w:pPr>
        <w:pStyle w:val="Heading1"/>
        <w:pBdr>
          <w:bottom w:val="single" w:color="2E75B6" w:sz="8" w:space="6"/>
        </w:pBdr>
        <w:spacing w:after="120" w:before="360"/>
      </w:pPr>
      <w:r>
        <w:t xml:space="preserve">2. Visión General del Proyecto</w:t>
      </w:r>
    </w:p>
    <w:p>
      <w:pPr>
        <w:pStyle w:val="Heading2"/>
        <w:spacing w:after="80" w:before="240"/>
      </w:pPr>
      <w:r>
        <w:t xml:space="preserve">2.1 Motivación estratégica</w:t>
      </w:r>
    </w:p>
    <w:p>
      <w:pPr>
        <w:spacing w:after="60" w:before="60"/>
        <w:jc w:val="both"/>
      </w:pPr>
      <w:r>
        <w:rPr>
          <w:color w:val="4A4A4A"/>
          <w:sz w:val="22"/>
          <w:szCs w:val="22"/>
        </w:rPr>
        <w:t xml:space="preserve">Las intranets corporativas de primera generación fueron concebidas como portales informativos estáticos. La organización requiere hoy una plataforma viva que centralice la comunicación, automatice flujos de trabajo, integre datos de múltiples sistemas y proporcione una experiencia de usuario consistente desde cualquier dispositivo.</w:t>
      </w:r>
    </w:p>
    <w:p>
      <w:pPr>
        <w:spacing w:after="60" w:before="60"/>
        <w:jc w:val="both"/>
      </w:pPr>
      <w:r>
        <w:rPr>
          <w:color w:val="4A4A4A"/>
          <w:sz w:val="22"/>
          <w:szCs w:val="22"/>
        </w:rPr>
        <w:t xml:space="preserve">El nuevo sistema debe actuar como capa de orquestación entre el usuario y los servicios empresariales subyacentes, eliminando los silos de información y reduciendo la fricción operativa.</w:t>
      </w:r>
    </w:p>
    <w:p>
      <w:pPr>
        <w:spacing w:after="60" w:before="60"/>
      </w:pPr>
      <w:r>
        <w:t xml:space="preserve"/>
      </w:r>
    </w:p>
    <w:p>
      <w:pPr>
        <w:pStyle w:val="Heading2"/>
        <w:spacing w:after="80" w:before="240"/>
      </w:pPr>
      <w:r>
        <w:t xml:space="preserve">2.2 Principios de diseño rectores</w:t>
      </w:r>
    </w:p>
    <w:p>
      <w:pPr>
        <w:pStyle w:val="ListParagraph"/>
        <w:numPr>
          <w:ilvl w:val="0"/>
          <w:numId w:val="2"/>
        </w:numPr>
        <w:spacing w:after="40" w:before="40"/>
      </w:pPr>
      <w:r>
        <w:rPr>
          <w:color w:val="4A4A4A"/>
          <w:sz w:val="22"/>
          <w:szCs w:val="22"/>
        </w:rPr>
        <w:t xml:space="preserve">Modularidad ante todo: cada dominio funcional es un servicio independiente que puede desarrollarse, desplegarse y escalar de forma autónoma.</w:t>
      </w:r>
    </w:p>
    <w:p>
      <w:pPr>
        <w:pStyle w:val="ListParagraph"/>
        <w:numPr>
          <w:ilvl w:val="0"/>
          <w:numId w:val="2"/>
        </w:numPr>
        <w:spacing w:after="40" w:before="40"/>
      </w:pPr>
      <w:r>
        <w:rPr>
          <w:color w:val="4A4A4A"/>
          <w:sz w:val="22"/>
          <w:szCs w:val="22"/>
        </w:rPr>
        <w:t xml:space="preserve">API-first: toda funcionalidad se expone primero como API antes de construir la interfaz, garantizando integración sin fricciones.</w:t>
      </w:r>
    </w:p>
    <w:p>
      <w:pPr>
        <w:pStyle w:val="ListParagraph"/>
        <w:numPr>
          <w:ilvl w:val="0"/>
          <w:numId w:val="2"/>
        </w:numPr>
        <w:spacing w:after="40" w:before="40"/>
      </w:pPr>
      <w:r>
        <w:rPr>
          <w:color w:val="4A4A4A"/>
          <w:sz w:val="22"/>
          <w:szCs w:val="22"/>
        </w:rPr>
        <w:t xml:space="preserve">Zero Trust Security: ninguna solicitud se considera confiable por defecto; autenticación y autorización se verifican en cada capa.</w:t>
      </w:r>
    </w:p>
    <w:p>
      <w:pPr>
        <w:pStyle w:val="ListParagraph"/>
        <w:numPr>
          <w:ilvl w:val="0"/>
          <w:numId w:val="2"/>
        </w:numPr>
        <w:spacing w:after="40" w:before="40"/>
      </w:pPr>
      <w:r>
        <w:rPr>
          <w:color w:val="4A4A4A"/>
          <w:sz w:val="22"/>
          <w:szCs w:val="22"/>
        </w:rPr>
        <w:t xml:space="preserve">Observabilidad completa: logs estructurados, métricas y trazas distribuidas como ciudadanos de primera clase.</w:t>
      </w:r>
    </w:p>
    <w:p>
      <w:pPr>
        <w:pStyle w:val="ListParagraph"/>
        <w:numPr>
          <w:ilvl w:val="0"/>
          <w:numId w:val="2"/>
        </w:numPr>
        <w:spacing w:after="40" w:before="40"/>
      </w:pPr>
      <w:r>
        <w:rPr>
          <w:color w:val="4A4A4A"/>
          <w:sz w:val="22"/>
          <w:szCs w:val="22"/>
        </w:rPr>
        <w:t xml:space="preserve">Developer Experience (DX): documentación automática, entornos locales reproducibles y pipelines de CI/CD desde el primer día.</w:t>
      </w:r>
    </w:p>
    <w:p>
      <w:pPr>
        <w:pStyle w:val="ListParagraph"/>
        <w:numPr>
          <w:ilvl w:val="0"/>
          <w:numId w:val="2"/>
        </w:numPr>
        <w:spacing w:after="40" w:before="40"/>
      </w:pPr>
      <w:r>
        <w:rPr>
          <w:color w:val="4A4A4A"/>
          <w:sz w:val="22"/>
          <w:szCs w:val="22"/>
        </w:rPr>
        <w:t xml:space="preserve">Accesibilidad: cumplimiento con WCAG 2.1 nivel AA en todos los componentes de interfaz.</w:t>
      </w:r>
    </w:p>
    <w:p>
      <w:pPr>
        <w:spacing w:after="60" w:before="60"/>
      </w:pPr>
      <w:r>
        <w:t xml:space="preserve"/>
      </w:r>
    </w:p>
    <w:p>
      <w:pPr>
        <w:pStyle w:val="Heading2"/>
        <w:spacing w:after="80" w:before="240"/>
      </w:pPr>
      <w:r>
        <w:t xml:space="preserve">2.3 Sistemas externos a integrar</w:t>
      </w:r>
    </w:p>
    <w:p>
      <w:pPr>
        <w:spacing w:after="60" w:before="60"/>
        <w:jc w:val="both"/>
      </w:pPr>
      <w:r>
        <w:rPr>
          <w:color w:val="4A4A4A"/>
          <w:sz w:val="22"/>
          <w:szCs w:val="22"/>
        </w:rPr>
        <w:t xml:space="preserve">La arquitectura contempla explícitamente puntos de integración con los siguientes sistemas externos, sin que su ausencia en fases tempranas comprometa la estabilidad del núcleo: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400"/>
        <w:gridCol w:w="1560"/>
      </w:tblGrid>
      <w:tr>
        <w:trPr>
          <w:tblHeader/>
        </w:trPr>
        <w:tc>
          <w:tcPr>
            <w:tcW w:type="dxa" w:w="3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Sistema Externo</w:t>
            </w:r>
          </w:p>
        </w:tc>
        <w:tc>
          <w:tcPr>
            <w:tcW w:type="dxa" w:w="2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Tipo de Integración</w:t>
            </w:r>
          </w:p>
        </w:tc>
        <w:tc>
          <w:tcPr>
            <w:tcW w:type="dxa" w:w="1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Prioridad</w:t>
            </w:r>
          </w:p>
        </w:tc>
        <w:tc>
          <w:tcPr>
            <w:tcW w:type="dxa" w:w="15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Fase</w:t>
            </w:r>
          </w:p>
        </w:tc>
      </w:tr>
      <w:tr>
        <w:tc>
          <w:tcPr>
            <w:tcW w:type="dxa" w:w="3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Plataforma de Estadísticas Empresariales (BI)</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API REST + Webhooks</w:t>
            </w:r>
          </w:p>
        </w:tc>
        <w:tc>
          <w:tcPr>
            <w:tcW w:type="dxa" w:w="1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Alta</w:t>
            </w:r>
          </w:p>
        </w:tc>
        <w:tc>
          <w:tcPr>
            <w:tcW w:type="dxa" w:w="1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Fase 2</w:t>
            </w:r>
          </w:p>
        </w:tc>
      </w:tr>
      <w:tr>
        <w:tc>
          <w:tcPr>
            <w:tcW w:type="dxa" w:w="3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Gestión de Grupos de Trabajo (Teams / Slack)</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OAuth 2.0 + Bot API</w:t>
            </w:r>
          </w:p>
        </w:tc>
        <w:tc>
          <w:tcPr>
            <w:tcW w:type="dxa" w:w="1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Alta</w:t>
            </w:r>
          </w:p>
        </w:tc>
        <w:tc>
          <w:tcPr>
            <w:tcW w:type="dxa" w:w="1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Fase 2</w:t>
            </w:r>
          </w:p>
        </w:tc>
      </w:tr>
      <w:tr>
        <w:tc>
          <w:tcPr>
            <w:tcW w:type="dxa" w:w="3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Organigramas Dinámicos (HRIS)</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GraphQL + Sincronización delta</w:t>
            </w:r>
          </w:p>
        </w:tc>
        <w:tc>
          <w:tcPr>
            <w:tcW w:type="dxa" w:w="1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Media</w:t>
            </w:r>
          </w:p>
        </w:tc>
        <w:tc>
          <w:tcPr>
            <w:tcW w:type="dxa" w:w="1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Fase 3</w:t>
            </w:r>
          </w:p>
        </w:tc>
      </w:tr>
      <w:tr>
        <w:tc>
          <w:tcPr>
            <w:tcW w:type="dxa" w:w="3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Base de Datos de RRHH</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REST seguro + Event Streaming</w:t>
            </w:r>
          </w:p>
        </w:tc>
        <w:tc>
          <w:tcPr>
            <w:tcW w:type="dxa" w:w="1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Alta</w:t>
            </w:r>
          </w:p>
        </w:tc>
        <w:tc>
          <w:tcPr>
            <w:tcW w:type="dxa" w:w="1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Fase 2</w:t>
            </w:r>
          </w:p>
        </w:tc>
      </w:tr>
      <w:tr>
        <w:tc>
          <w:tcPr>
            <w:tcW w:type="dxa" w:w="3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Sistema de Gestión Documental (DMS)</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CMIS / REST + Webhooks</w:t>
            </w:r>
          </w:p>
        </w:tc>
        <w:tc>
          <w:tcPr>
            <w:tcW w:type="dxa" w:w="1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Media</w:t>
            </w:r>
          </w:p>
        </w:tc>
        <w:tc>
          <w:tcPr>
            <w:tcW w:type="dxa" w:w="1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Fase 3</w:t>
            </w:r>
          </w:p>
        </w:tc>
      </w:tr>
      <w:tr>
        <w:tc>
          <w:tcPr>
            <w:tcW w:type="dxa" w:w="3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Directorio Corporativo (LDAP / AD)</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LDAP / SCIM 2.0</w:t>
            </w:r>
          </w:p>
        </w:tc>
        <w:tc>
          <w:tcPr>
            <w:tcW w:type="dxa" w:w="1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Crítica</w:t>
            </w:r>
          </w:p>
        </w:tc>
        <w:tc>
          <w:tcPr>
            <w:tcW w:type="dxa" w:w="1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Fase 1</w:t>
            </w:r>
          </w:p>
        </w:tc>
      </w:tr>
      <w:tr>
        <w:tc>
          <w:tcPr>
            <w:tcW w:type="dxa" w:w="3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Sistemas de Ticketing / ITSM</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REST + Webhooks</w:t>
            </w:r>
          </w:p>
        </w:tc>
        <w:tc>
          <w:tcPr>
            <w:tcW w:type="dxa" w:w="1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Baja</w:t>
            </w:r>
          </w:p>
        </w:tc>
        <w:tc>
          <w:tcPr>
            <w:tcW w:type="dxa" w:w="1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Fase 4</w:t>
            </w:r>
          </w:p>
        </w:tc>
      </w:tr>
    </w:tbl>
    <w:p>
      <w:r>
        <w:br w:type="page"/>
      </w:r>
    </w:p>
    <w:p>
      <w:pPr>
        <w:pStyle w:val="Heading1"/>
        <w:pBdr>
          <w:bottom w:val="single" w:color="2E75B6" w:sz="8" w:space="6"/>
        </w:pBdr>
        <w:spacing w:after="120" w:before="360"/>
      </w:pPr>
      <w:r>
        <w:t xml:space="preserve">3. Arquitectura del Sistema</w:t>
      </w:r>
    </w:p>
    <w:p>
      <w:pPr>
        <w:pStyle w:val="Heading2"/>
        <w:spacing w:after="80" w:before="240"/>
      </w:pPr>
      <w:r>
        <w:t xml:space="preserve">3.1 Modelo de arquitectura: Microservicios orientados al dominio</w:t>
      </w:r>
    </w:p>
    <w:p>
      <w:pPr>
        <w:spacing w:after="60" w:before="60"/>
        <w:jc w:val="both"/>
      </w:pPr>
      <w:r>
        <w:rPr>
          <w:color w:val="4A4A4A"/>
          <w:sz w:val="22"/>
          <w:szCs w:val="22"/>
        </w:rPr>
        <w:t xml:space="preserve">La plataforma adopta una arquitectura de microservicios basada en Domain-Driven Design (DDD). Cada servicio es responsable de un bounded context claramente definido y se comunica con el resto a través de interfaces contractuales versionadas. Este modelo garantiza que el crecimiento de un dominio no impacte la estabilidad de los demás.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D4ECEE" w:val="clear"/>
            <w:tcMar>
              <w:top w:type="dxa" w:w="100"/>
              <w:left w:type="dxa" w:w="120"/>
              <w:bottom w:type="dxa" w:w="100"/>
              <w:right w:type="dxa" w:w="100"/>
            </w:tcMar>
          </w:tcPr>
          <w:p>
            <w:pPr>
              <w:jc w:val="center"/>
            </w:pPr>
            <w:r>
              <w:rPr>
                <w:b/>
                <w:bCs/>
                <w:color w:val="1D6A72"/>
                <w:sz w:val="20"/>
                <w:szCs w:val="20"/>
              </w:rPr>
              <w:t xml:space="preserve">PATRÓN CLAVE</w:t>
            </w:r>
          </w:p>
        </w:tc>
        <w:tc>
          <w:tcPr>
            <w:tcW w:type="dxa" w:w="8360"/>
            <w:tcBorders>
              <w:top w:val="none" w:color="FFFFFF" w:sz="0"/>
              <w:left w:val="single" w:color="1D6A72" w:sz="12"/>
              <w:bottom w:val="none" w:color="FFFFFF" w:sz="0"/>
              <w:right w:val="none" w:color="FFFFFF" w:sz="0"/>
            </w:tcBorders>
            <w:shd w:fill="D4ECEE" w:val="clear"/>
            <w:tcMar>
              <w:top w:type="dxa" w:w="100"/>
              <w:left w:type="dxa" w:w="160"/>
              <w:bottom w:type="dxa" w:w="100"/>
              <w:right w:type="dxa" w:w="120"/>
            </w:tcMar>
          </w:tcPr>
          <w:p>
            <w:pPr>
              <w:jc w:val="both"/>
            </w:pPr>
            <w:r>
              <w:rPr>
                <w:color w:val="4A4A4A"/>
                <w:sz w:val="21"/>
                <w:szCs w:val="21"/>
              </w:rPr>
              <w:t xml:space="preserve">Se emplea el patrón BFF (Backend for Frontend) combinado con un API Gateway central. El BFF adapta las respuestas al contexto del cliente (web, móvil, widgets externos) sin exponer complejidad interna al frontend.</w:t>
            </w:r>
          </w:p>
        </w:tc>
      </w:tr>
    </w:tbl>
    <w:p>
      <w:pPr>
        <w:spacing w:after="60" w:before="60"/>
      </w:pPr>
      <w:r>
        <w:t xml:space="preserve"/>
      </w:r>
    </w:p>
    <w:p>
      <w:pPr>
        <w:pStyle w:val="Heading3"/>
        <w:spacing w:after="60" w:before="160"/>
      </w:pPr>
      <w:r>
        <w:rPr>
          <w:color w:val="1D6A72"/>
        </w:rPr>
        <w:t xml:space="preserve">Microservicios del núcleo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1800"/>
        <w:gridCol w:w="2460"/>
      </w:tblGrid>
      <w:tr>
        <w:trPr>
          <w:tblHeader/>
        </w:trPr>
        <w:tc>
          <w:tcPr>
            <w:tcW w:type="dxa" w:w="2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Servicio</w:t>
            </w:r>
          </w:p>
        </w:tc>
        <w:tc>
          <w:tcPr>
            <w:tcW w:type="dxa" w:w="29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Responsabilidad</w:t>
            </w:r>
          </w:p>
        </w:tc>
        <w:tc>
          <w:tcPr>
            <w:tcW w:type="dxa" w:w="1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Protocolo</w:t>
            </w:r>
          </w:p>
        </w:tc>
        <w:tc>
          <w:tcPr>
            <w:tcW w:type="dxa" w:w="24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Almacenamiento</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Identity Service</w:t>
            </w:r>
          </w:p>
        </w:tc>
        <w:tc>
          <w:tcPr>
            <w:tcW w:type="dxa" w:w="29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Autenticación, SSO, emisión de tokens JWT/SAML</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OIDC / SAML 2.0</w:t>
            </w:r>
          </w:p>
        </w:tc>
        <w:tc>
          <w:tcPr>
            <w:tcW w:type="dxa" w:w="24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PostgreSQL + Redis</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Authorization Service</w:t>
            </w:r>
          </w:p>
        </w:tc>
        <w:tc>
          <w:tcPr>
            <w:tcW w:type="dxa" w:w="29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RBAC + ABAC, evaluación de políticas (OPA)</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gRPC / REST</w:t>
            </w:r>
          </w:p>
        </w:tc>
        <w:tc>
          <w:tcPr>
            <w:tcW w:type="dxa" w:w="24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PostgreSQL</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User Profile Service</w:t>
            </w:r>
          </w:p>
        </w:tc>
        <w:tc>
          <w:tcPr>
            <w:tcW w:type="dxa" w:w="29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Perfiles, preferencias, directorio interno</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REST / GraphQL</w:t>
            </w:r>
          </w:p>
        </w:tc>
        <w:tc>
          <w:tcPr>
            <w:tcW w:type="dxa" w:w="24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PostgreSQL</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Content Service</w:t>
            </w:r>
          </w:p>
        </w:tc>
        <w:tc>
          <w:tcPr>
            <w:tcW w:type="dxa" w:w="29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Páginas, noticias, anuncios, CMS headless</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REST + GraphQL</w:t>
            </w:r>
          </w:p>
        </w:tc>
        <w:tc>
          <w:tcPr>
            <w:tcW w:type="dxa" w:w="24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PostgreSQL + S3</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Document Service</w:t>
            </w:r>
          </w:p>
        </w:tc>
        <w:tc>
          <w:tcPr>
            <w:tcW w:type="dxa" w:w="29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Gestión documental interna, versionado, búsqueda</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REST</w:t>
            </w:r>
          </w:p>
        </w:tc>
        <w:tc>
          <w:tcPr>
            <w:tcW w:type="dxa" w:w="24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MinIO / S3 + Elasticsearch</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Notification Service</w:t>
            </w:r>
          </w:p>
        </w:tc>
        <w:tc>
          <w:tcPr>
            <w:tcW w:type="dxa" w:w="29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Push, email, in-app, canales configurables</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REST + WebSockets</w:t>
            </w:r>
          </w:p>
        </w:tc>
        <w:tc>
          <w:tcPr>
            <w:tcW w:type="dxa" w:w="24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Redis + PostgreSQL</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Audit Service</w:t>
            </w:r>
          </w:p>
        </w:tc>
        <w:tc>
          <w:tcPr>
            <w:tcW w:type="dxa" w:w="29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Registro inmutable de eventos y acciones</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Event Streaming</w:t>
            </w:r>
          </w:p>
        </w:tc>
        <w:tc>
          <w:tcPr>
            <w:tcW w:type="dxa" w:w="24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Elasticsearch + S3</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Integration Hub</w:t>
            </w:r>
          </w:p>
        </w:tc>
        <w:tc>
          <w:tcPr>
            <w:tcW w:type="dxa" w:w="29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Adaptadores para sistemas externos, event bus</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REST + gRPC + AMQP</w:t>
            </w:r>
          </w:p>
        </w:tc>
        <w:tc>
          <w:tcPr>
            <w:tcW w:type="dxa" w:w="24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Redis + PostgreSQL</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Analytics Service</w:t>
            </w:r>
          </w:p>
        </w:tc>
        <w:tc>
          <w:tcPr>
            <w:tcW w:type="dxa" w:w="29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Métricas de uso, dashboards internos, BI</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REST + GraphQL</w:t>
            </w:r>
          </w:p>
        </w:tc>
        <w:tc>
          <w:tcPr>
            <w:tcW w:type="dxa" w:w="24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ClickHouse</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Search Service</w:t>
            </w:r>
          </w:p>
        </w:tc>
        <w:tc>
          <w:tcPr>
            <w:tcW w:type="dxa" w:w="29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Búsqueda federada en todos los dominios</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REST</w:t>
            </w:r>
          </w:p>
        </w:tc>
        <w:tc>
          <w:tcPr>
            <w:tcW w:type="dxa" w:w="24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Elasticsearch</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Workflow Service</w:t>
            </w:r>
          </w:p>
        </w:tc>
        <w:tc>
          <w:tcPr>
            <w:tcW w:type="dxa" w:w="29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Aprobaciones, flujos configurables</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REST + Event Streaming</w:t>
            </w:r>
          </w:p>
        </w:tc>
        <w:tc>
          <w:tcPr>
            <w:tcW w:type="dxa" w:w="24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PostgreSQL</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Org Chart Service</w:t>
            </w:r>
          </w:p>
        </w:tc>
        <w:tc>
          <w:tcPr>
            <w:tcW w:type="dxa" w:w="29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Estructura organizacional dinámica</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GraphQL</w:t>
            </w:r>
          </w:p>
        </w:tc>
        <w:tc>
          <w:tcPr>
            <w:tcW w:type="dxa" w:w="24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PostgreSQL + Cache</w:t>
            </w:r>
          </w:p>
        </w:tc>
      </w:tr>
    </w:tbl>
    <w:p>
      <w:pPr>
        <w:spacing w:after="60" w:before="60"/>
      </w:pPr>
      <w:r>
        <w:t xml:space="preserve"/>
      </w:r>
    </w:p>
    <w:p>
      <w:pPr>
        <w:pStyle w:val="Heading2"/>
        <w:spacing w:after="80" w:before="240"/>
      </w:pPr>
      <w:r>
        <w:t xml:space="preserve">3.2 Topología de infraestructura</w:t>
      </w:r>
    </w:p>
    <w:p>
      <w:pPr>
        <w:spacing w:after="60" w:before="60"/>
        <w:jc w:val="both"/>
      </w:pPr>
      <w:r>
        <w:rPr>
          <w:color w:val="4A4A4A"/>
          <w:sz w:val="22"/>
          <w:szCs w:val="22"/>
        </w:rPr>
        <w:t xml:space="preserve">La infraestructura se despliega en contenedores orquestados con Kubernetes, usando namespaces por dominio para aislar servicios. Se contempla despliegue multi-zona para alta disponibilidad y recuperación ante desastres.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Orquestación</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Kubernetes (EKS / GKE / AKS según proveedor cloud elegido)</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Service Mesh</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Istio — mTLS entre servicios, circuit breaking, traffic shaping</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API Gateway</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Kong Gateway (open source) o AWS API Gateway</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Message Broker</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Apache Kafka para event streaming; RabbitMQ para colas de tareas</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Cache distribuido</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Redis Cluster — sesiones, rate limiting, caché de respuestas</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CDN</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CloudFront / Cloudflare para assets estáticos y edge caching</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Almacenamiento objetos</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MinIO (on-prem) o S3 (cloud) para documentos y media</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Secretos y config</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HashiCorp Vault + Kubernetes Secrets (cifrados en reposo)</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Observabilidad</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Prometheus + Grafana + Jaeger (trazas) + ELK Stack (logs)</w:t>
            </w:r>
          </w:p>
        </w:tc>
      </w:tr>
    </w:tbl>
    <w:p>
      <w:pPr>
        <w:spacing w:after="60" w:before="60"/>
      </w:pPr>
      <w:r>
        <w:t xml:space="preserve"/>
      </w:r>
    </w:p>
    <w:p>
      <w:pPr>
        <w:pStyle w:val="Heading2"/>
        <w:spacing w:after="80" w:before="240"/>
      </w:pPr>
      <w:r>
        <w:t xml:space="preserve">3.3 Patrones de resiliencia</w:t>
      </w:r>
    </w:p>
    <w:p>
      <w:pPr>
        <w:pStyle w:val="ListParagraph"/>
        <w:numPr>
          <w:ilvl w:val="0"/>
          <w:numId w:val="2"/>
        </w:numPr>
        <w:spacing w:after="40" w:before="40"/>
      </w:pPr>
      <w:r>
        <w:rPr>
          <w:color w:val="4A4A4A"/>
          <w:sz w:val="22"/>
          <w:szCs w:val="22"/>
        </w:rPr>
        <w:t xml:space="preserve">Circuit Breaker: previene cascadas de fallos entre servicios mediante Istio o Resilience4j.</w:t>
      </w:r>
    </w:p>
    <w:p>
      <w:pPr>
        <w:pStyle w:val="ListParagraph"/>
        <w:numPr>
          <w:ilvl w:val="0"/>
          <w:numId w:val="2"/>
        </w:numPr>
        <w:spacing w:after="40" w:before="40"/>
      </w:pPr>
      <w:r>
        <w:rPr>
          <w:color w:val="4A4A4A"/>
          <w:sz w:val="22"/>
          <w:szCs w:val="22"/>
        </w:rPr>
        <w:t xml:space="preserve">Retry con backoff exponencial: reintentos automáticos con jitter para llamadas idempotentes.</w:t>
      </w:r>
    </w:p>
    <w:p>
      <w:pPr>
        <w:pStyle w:val="ListParagraph"/>
        <w:numPr>
          <w:ilvl w:val="0"/>
          <w:numId w:val="2"/>
        </w:numPr>
        <w:spacing w:after="40" w:before="40"/>
      </w:pPr>
      <w:r>
        <w:rPr>
          <w:color w:val="4A4A4A"/>
          <w:sz w:val="22"/>
          <w:szCs w:val="22"/>
        </w:rPr>
        <w:t xml:space="preserve">Bulkhead: pools de hilo separados por servicio para evitar agotamiento de recursos.</w:t>
      </w:r>
    </w:p>
    <w:p>
      <w:pPr>
        <w:pStyle w:val="ListParagraph"/>
        <w:numPr>
          <w:ilvl w:val="0"/>
          <w:numId w:val="2"/>
        </w:numPr>
        <w:spacing w:after="40" w:before="40"/>
      </w:pPr>
      <w:r>
        <w:rPr>
          <w:color w:val="4A4A4A"/>
          <w:sz w:val="22"/>
          <w:szCs w:val="22"/>
        </w:rPr>
        <w:t xml:space="preserve">Saga Pattern: gestión de transacciones distribuidas mediante coreografía o orquestación de eventos.</w:t>
      </w:r>
    </w:p>
    <w:p>
      <w:pPr>
        <w:pStyle w:val="ListParagraph"/>
        <w:numPr>
          <w:ilvl w:val="0"/>
          <w:numId w:val="2"/>
        </w:numPr>
        <w:spacing w:after="40" w:before="40"/>
      </w:pPr>
      <w:r>
        <w:rPr>
          <w:color w:val="4A4A4A"/>
          <w:sz w:val="22"/>
          <w:szCs w:val="22"/>
        </w:rPr>
        <w:t xml:space="preserve">CQRS: separación de modelos de lectura y escritura en servicios de alto throughput (Analytics, Audit).</w:t>
      </w:r>
    </w:p>
    <w:p>
      <w:r>
        <w:br w:type="page"/>
      </w:r>
    </w:p>
    <w:p>
      <w:pPr>
        <w:pStyle w:val="Heading1"/>
        <w:pBdr>
          <w:bottom w:val="single" w:color="2E75B6" w:sz="8" w:space="6"/>
        </w:pBdr>
        <w:spacing w:after="120" w:before="360"/>
      </w:pPr>
      <w:r>
        <w:t xml:space="preserve">4. Pila Tecnológica Propuesta</w:t>
      </w:r>
    </w:p>
    <w:p>
      <w:pPr>
        <w:pStyle w:val="Heading2"/>
        <w:spacing w:after="80" w:before="240"/>
      </w:pPr>
      <w:r>
        <w:t xml:space="preserve">4.1 Frontend</w:t>
      </w:r>
    </w:p>
    <w:p>
      <w:pPr>
        <w:spacing w:after="60" w:before="60"/>
        <w:jc w:val="both"/>
      </w:pPr>
      <w:r>
        <w:rPr>
          <w:color w:val="4A4A4A"/>
          <w:sz w:val="22"/>
          <w:szCs w:val="22"/>
        </w:rPr>
        <w:t xml:space="preserve">Se propone una arquitectura de microfrontends basada en Module Federation (Webpack 5), donde cada dominio funcional puede desarrollarse y desplegarse independientemente. El shell de aplicación orquesta la carga dinámica de los módulos.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Categoría</w:t>
            </w:r>
          </w:p>
        </w:tc>
        <w:tc>
          <w:tcPr>
            <w:tcW w:type="dxa" w:w="2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Tecnología</w:t>
            </w:r>
          </w:p>
        </w:tc>
        <w:tc>
          <w:tcPr>
            <w:tcW w:type="dxa" w:w="49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Justificación</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Framework UI</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React 18 + TypeScript</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Ecosistema maduro, Server Components, tipado estático</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Meta-framework</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Next.js 14 (App Router)</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SSR/SSG/ISR, edge rendering, performance óptimo</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Microfrontends</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Webpack 5 Module Federation</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Despliegue independiente por dominio</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Gestión de estado</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Zustand + React Query (TanStack)</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Estado local liviano + server state robusto</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Diseño de sistema</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Tailwind CSS + Storybook</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Tokens de diseño, componentes documentados</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Testing</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Vitest + Testing Library + Playwright</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Unit, integración y E2E</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Gráficos / Dashboards</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Recharts + ECharts</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Visualización de datos corporativos</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Accesibilidad</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Radix UI (primitives)</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Componentes headless WCAG 2.1 AA</w:t>
            </w:r>
          </w:p>
        </w:tc>
      </w:tr>
    </w:tbl>
    <w:p>
      <w:pPr>
        <w:spacing w:after="60" w:before="60"/>
      </w:pPr>
      <w:r>
        <w:t xml:space="preserve"/>
      </w:r>
    </w:p>
    <w:p>
      <w:pPr>
        <w:pStyle w:val="Heading2"/>
        <w:spacing w:after="80" w:before="240"/>
      </w:pPr>
      <w:r>
        <w:t xml:space="preserve">4.2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rPr>
          <w:tblHeader/>
        </w:trPr>
        <w:tc>
          <w:tcPr>
            <w:tcW w:type="dxa" w:w="21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Categoría</w:t>
            </w:r>
          </w:p>
        </w:tc>
        <w:tc>
          <w:tcPr>
            <w:tcW w:type="dxa" w:w="23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Tecnología</w:t>
            </w:r>
          </w:p>
        </w:tc>
        <w:tc>
          <w:tcPr>
            <w:tcW w:type="dxa" w:w="49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Justificación</w:t>
            </w:r>
          </w:p>
        </w:tc>
      </w:tr>
      <w:tr>
        <w:tc>
          <w:tcPr>
            <w:tcW w:type="dxa" w:w="21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Lenguaje principal</w:t>
            </w:r>
          </w:p>
        </w:tc>
        <w:tc>
          <w:tcPr>
            <w:tcW w:type="dxa" w:w="23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TypeScript / Node.js (NestJS)</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Ecosistema JS unificado, DI, decorators, OpenAPI auto</w:t>
            </w:r>
          </w:p>
        </w:tc>
      </w:tr>
      <w:tr>
        <w:tc>
          <w:tcPr>
            <w:tcW w:type="dxa" w:w="21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Servicios críticos</w:t>
            </w:r>
          </w:p>
        </w:tc>
        <w:tc>
          <w:tcPr>
            <w:tcW w:type="dxa" w:w="23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Go (Golang)</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Rendimiento nativo para Identity, Audit y Integration Hub</w:t>
            </w:r>
          </w:p>
        </w:tc>
      </w:tr>
      <w:tr>
        <w:tc>
          <w:tcPr>
            <w:tcW w:type="dxa" w:w="21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GraphQL</w:t>
            </w:r>
          </w:p>
        </w:tc>
        <w:tc>
          <w:tcPr>
            <w:tcW w:type="dxa" w:w="23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Apollo Server + Federation</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Esquema federado, resolvers por servicio</w:t>
            </w:r>
          </w:p>
        </w:tc>
      </w:tr>
      <w:tr>
        <w:tc>
          <w:tcPr>
            <w:tcW w:type="dxa" w:w="21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ORM / Query builder</w:t>
            </w:r>
          </w:p>
        </w:tc>
        <w:tc>
          <w:tcPr>
            <w:tcW w:type="dxa" w:w="23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Prisma (TypeScript) / sqlc (Go)</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Migraciones tipadas, seguridad en queries</w:t>
            </w:r>
          </w:p>
        </w:tc>
      </w:tr>
      <w:tr>
        <w:tc>
          <w:tcPr>
            <w:tcW w:type="dxa" w:w="21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Base de datos relacional</w:t>
            </w:r>
          </w:p>
        </w:tc>
        <w:tc>
          <w:tcPr>
            <w:tcW w:type="dxa" w:w="23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PostgreSQL 15</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ACID, JSONB, row-level security, extensiones</w:t>
            </w:r>
          </w:p>
        </w:tc>
      </w:tr>
      <w:tr>
        <w:tc>
          <w:tcPr>
            <w:tcW w:type="dxa" w:w="21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Base de datos analítica</w:t>
            </w:r>
          </w:p>
        </w:tc>
        <w:tc>
          <w:tcPr>
            <w:tcW w:type="dxa" w:w="23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ClickHouse</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OLAP columnar de alta velocidad para métricas</w:t>
            </w:r>
          </w:p>
        </w:tc>
      </w:tr>
      <w:tr>
        <w:tc>
          <w:tcPr>
            <w:tcW w:type="dxa" w:w="21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Cache</w:t>
            </w:r>
          </w:p>
        </w:tc>
        <w:tc>
          <w:tcPr>
            <w:tcW w:type="dxa" w:w="23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Redis 7 (Cluster mode)</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Sesiones, tokens, rate limit, pub/sub</w:t>
            </w:r>
          </w:p>
        </w:tc>
      </w:tr>
      <w:tr>
        <w:tc>
          <w:tcPr>
            <w:tcW w:type="dxa" w:w="21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Búsqueda</w:t>
            </w:r>
          </w:p>
        </w:tc>
        <w:tc>
          <w:tcPr>
            <w:tcW w:type="dxa" w:w="23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Elasticsearch 8</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Búsqueda full-text federada con vector search</w:t>
            </w:r>
          </w:p>
        </w:tc>
      </w:tr>
      <w:tr>
        <w:tc>
          <w:tcPr>
            <w:tcW w:type="dxa" w:w="21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Object Storage</w:t>
            </w:r>
          </w:p>
        </w:tc>
        <w:tc>
          <w:tcPr>
            <w:tcW w:type="dxa" w:w="23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MinIO / AWS S3</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Almacenamiento de documentos y media</w:t>
            </w:r>
          </w:p>
        </w:tc>
      </w:tr>
      <w:tr>
        <w:tc>
          <w:tcPr>
            <w:tcW w:type="dxa" w:w="21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Autenticación</w:t>
            </w:r>
          </w:p>
        </w:tc>
        <w:tc>
          <w:tcPr>
            <w:tcW w:type="dxa" w:w="23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Keycloak 22</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IdP empresarial, SAML 2.0, OIDC, SCIM, MFA</w:t>
            </w:r>
          </w:p>
        </w:tc>
      </w:tr>
    </w:tbl>
    <w:p>
      <w:pPr>
        <w:spacing w:after="60" w:before="60"/>
      </w:pPr>
      <w:r>
        <w:t xml:space="preserve"/>
      </w:r>
    </w:p>
    <w:p>
      <w:pPr>
        <w:pStyle w:val="Heading2"/>
        <w:spacing w:after="80" w:before="240"/>
      </w:pPr>
      <w:r>
        <w:t xml:space="preserve">4.3 Infraestructura y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Categoría</w:t>
            </w:r>
          </w:p>
        </w:tc>
        <w:tc>
          <w:tcPr>
            <w:tcW w:type="dxa" w:w="2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Tecnología</w:t>
            </w:r>
          </w:p>
        </w:tc>
        <w:tc>
          <w:tcPr>
            <w:tcW w:type="dxa" w:w="49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Justificación</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Contenedores</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Docker + Kubernetes 1.28</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Estándar de la industria, ecosistema amplio</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IaC</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Terraform + Helm Charts</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Infraestructura versionada, reproducible</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CI/CD</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GitHub Actions + ArgoCD</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Pipelines declarativos, GitOps para deploys</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Service Mesh</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Istio</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mTLS, observabilidad, traffic management</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API Gateway</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Kong Gateway</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Rate limiting, authn/z, plugins extensibles</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Secretos</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HashiCorp Vault</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Rotación automática, PKI interna, auditoría</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Monitoreo</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Prometheus + Grafana + Alertmanager</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Métricas, alertas, dashboards operacionales</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Trazas</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Jaeger + OpenTelemetry</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Distributed tracing estándar CNCF</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Logs</w:t>
            </w:r>
          </w:p>
        </w:tc>
        <w:tc>
          <w:tcPr>
            <w:tcW w:type="dxa" w:w="24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Fluent Bit + Elasticsearch + Kibana</w:t>
            </w:r>
          </w:p>
        </w:tc>
        <w:tc>
          <w:tcPr>
            <w:tcW w:type="dxa" w:w="49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Centralización y análisis de logs</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SAST/DAST</w:t>
            </w:r>
          </w:p>
        </w:tc>
        <w:tc>
          <w:tcPr>
            <w:tcW w:type="dxa" w:w="24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SonarQube + OWASP ZAP</w:t>
            </w:r>
          </w:p>
        </w:tc>
        <w:tc>
          <w:tcPr>
            <w:tcW w:type="dxa" w:w="49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Análisis estático y dinámico de seguridad</w:t>
            </w:r>
          </w:p>
        </w:tc>
      </w:tr>
    </w:tbl>
    <w:p>
      <w:r>
        <w:br w:type="page"/>
      </w:r>
    </w:p>
    <w:p>
      <w:pPr>
        <w:pStyle w:val="Heading1"/>
        <w:pBdr>
          <w:bottom w:val="single" w:color="2E75B6" w:sz="8" w:space="6"/>
        </w:pBdr>
        <w:spacing w:after="120" w:before="360"/>
      </w:pPr>
      <w:r>
        <w:t xml:space="preserve">5. Gestión de Identidad, Roles y Permisos</w:t>
      </w:r>
    </w:p>
    <w:p>
      <w:pPr>
        <w:pStyle w:val="Heading2"/>
        <w:spacing w:after="80" w:before="240"/>
      </w:pPr>
      <w:r>
        <w:t xml:space="preserve">5.1 Modelo híbrido RBAC + ABAC</w:t>
      </w:r>
    </w:p>
    <w:p>
      <w:pPr>
        <w:spacing w:after="60" w:before="60"/>
        <w:jc w:val="both"/>
      </w:pPr>
      <w:r>
        <w:rPr>
          <w:color w:val="4A4A4A"/>
          <w:sz w:val="22"/>
          <w:szCs w:val="22"/>
        </w:rPr>
        <w:t xml:space="preserve">La plataforma implementa un modelo híbrido que combina Role-Based Access Control (RBAC) para la administración operacional del día a día, con Attribute-Based Access Control (ABAC) para casos de uso que requieren decisiones de acceso dinámicas y contextuales. La evaluación de políticas se centraliza en Open Policy Agent (OPA) como policy engine independiente.</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D4ECEE" w:val="clear"/>
            <w:tcMar>
              <w:top w:type="dxa" w:w="100"/>
              <w:left w:type="dxa" w:w="120"/>
              <w:bottom w:type="dxa" w:w="100"/>
              <w:right w:type="dxa" w:w="100"/>
            </w:tcMar>
          </w:tcPr>
          <w:p>
            <w:pPr>
              <w:jc w:val="center"/>
            </w:pPr>
            <w:r>
              <w:rPr>
                <w:b/>
                <w:bCs/>
                <w:color w:val="1D6A72"/>
                <w:sz w:val="20"/>
                <w:szCs w:val="20"/>
              </w:rPr>
              <w:t xml:space="preserve">GRANULARIDAD FINA</w:t>
            </w:r>
          </w:p>
        </w:tc>
        <w:tc>
          <w:tcPr>
            <w:tcW w:type="dxa" w:w="8360"/>
            <w:tcBorders>
              <w:top w:val="none" w:color="FFFFFF" w:sz="0"/>
              <w:left w:val="single" w:color="1D6A72" w:sz="12"/>
              <w:bottom w:val="none" w:color="FFFFFF" w:sz="0"/>
              <w:right w:val="none" w:color="FFFFFF" w:sz="0"/>
            </w:tcBorders>
            <w:shd w:fill="D4ECEE" w:val="clear"/>
            <w:tcMar>
              <w:top w:type="dxa" w:w="100"/>
              <w:left w:type="dxa" w:w="160"/>
              <w:bottom w:type="dxa" w:w="100"/>
              <w:right w:type="dxa" w:w="120"/>
            </w:tcMar>
          </w:tcPr>
          <w:p>
            <w:pPr>
              <w:jc w:val="both"/>
            </w:pPr>
            <w:r>
              <w:rPr>
                <w:color w:val="4A4A4A"/>
                <w:sz w:val="21"/>
                <w:szCs w:val="21"/>
              </w:rPr>
              <w:t xml:space="preserve">Las políticas de autorización se definen en lenguaje Rego (OPA) y se versionan en Git junto al código. Esto permite auditar cualquier cambio de política, hacer rollbacks y evaluar políticas en dry-run antes de aplicarlas en producción. Los permisos pueden reducirse a nivel de campo individual (field-level security) en queries GraphQL.</w:t>
            </w:r>
          </w:p>
        </w:tc>
      </w:tr>
    </w:tbl>
    <w:p>
      <w:pPr>
        <w:spacing w:after="60" w:before="60"/>
      </w:pPr>
      <w:r>
        <w:t xml:space="preserve"/>
      </w:r>
    </w:p>
    <w:p>
      <w:pPr>
        <w:pStyle w:val="Heading3"/>
        <w:spacing w:after="60" w:before="160"/>
      </w:pPr>
      <w:r>
        <w:rPr>
          <w:color w:val="1D6A72"/>
        </w:rPr>
        <w:t xml:space="preserve">Jerarquía de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Nivel</w:t>
            </w:r>
          </w:p>
        </w:tc>
        <w:tc>
          <w:tcPr>
            <w:tcW w:type="dxa" w:w="26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Rol</w:t>
            </w:r>
          </w:p>
        </w:tc>
        <w:tc>
          <w:tcPr>
            <w:tcW w:type="dxa" w:w="55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Alcance</w:t>
            </w:r>
          </w:p>
        </w:tc>
      </w:tr>
      <w:tr>
        <w:tc>
          <w:tcPr>
            <w:tcW w:type="dxa" w:w="1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Sistema</w:t>
            </w:r>
          </w:p>
        </w:tc>
        <w:tc>
          <w:tcPr>
            <w:tcW w:type="dxa" w:w="2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Super Admin</w:t>
            </w:r>
          </w:p>
        </w:tc>
        <w:tc>
          <w:tcPr>
            <w:tcW w:type="dxa" w:w="5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Control total de la plataforma</w:t>
            </w:r>
          </w:p>
        </w:tc>
      </w:tr>
      <w:tr>
        <w:tc>
          <w:tcPr>
            <w:tcW w:type="dxa" w:w="1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Sistema</w:t>
            </w:r>
          </w:p>
        </w:tc>
        <w:tc>
          <w:tcPr>
            <w:tcW w:type="dxa" w:w="2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Security Admin</w:t>
            </w:r>
          </w:p>
        </w:tc>
        <w:tc>
          <w:tcPr>
            <w:tcW w:type="dxa" w:w="5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Gestión de políticas, auditoría y seguridad</w:t>
            </w:r>
          </w:p>
        </w:tc>
      </w:tr>
      <w:tr>
        <w:tc>
          <w:tcPr>
            <w:tcW w:type="dxa" w:w="1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Organización</w:t>
            </w:r>
          </w:p>
        </w:tc>
        <w:tc>
          <w:tcPr>
            <w:tcW w:type="dxa" w:w="2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Org Admin</w:t>
            </w:r>
          </w:p>
        </w:tc>
        <w:tc>
          <w:tcPr>
            <w:tcW w:type="dxa" w:w="5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Gestión de unidades, roles y usuarios de su organización</w:t>
            </w:r>
          </w:p>
        </w:tc>
      </w:tr>
      <w:tr>
        <w:tc>
          <w:tcPr>
            <w:tcW w:type="dxa" w:w="1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Departamento</w:t>
            </w:r>
          </w:p>
        </w:tc>
        <w:tc>
          <w:tcPr>
            <w:tcW w:type="dxa" w:w="2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Department Manager</w:t>
            </w:r>
          </w:p>
        </w:tc>
        <w:tc>
          <w:tcPr>
            <w:tcW w:type="dxa" w:w="5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Administración de su área y grupos de trabajo</w:t>
            </w:r>
          </w:p>
        </w:tc>
      </w:tr>
      <w:tr>
        <w:tc>
          <w:tcPr>
            <w:tcW w:type="dxa" w:w="1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Equipo</w:t>
            </w:r>
          </w:p>
        </w:tc>
        <w:tc>
          <w:tcPr>
            <w:tcW w:type="dxa" w:w="2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Team Lead</w:t>
            </w:r>
          </w:p>
        </w:tc>
        <w:tc>
          <w:tcPr>
            <w:tcW w:type="dxa" w:w="5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Gestión de miembros y recursos de su equipo</w:t>
            </w:r>
          </w:p>
        </w:tc>
      </w:tr>
      <w:tr>
        <w:tc>
          <w:tcPr>
            <w:tcW w:type="dxa" w:w="1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Funcional</w:t>
            </w:r>
          </w:p>
        </w:tc>
        <w:tc>
          <w:tcPr>
            <w:tcW w:type="dxa" w:w="2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Content Editor</w:t>
            </w:r>
          </w:p>
        </w:tc>
        <w:tc>
          <w:tcPr>
            <w:tcW w:type="dxa" w:w="5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Creación y edición de contenido en su ámbito</w:t>
            </w:r>
          </w:p>
        </w:tc>
      </w:tr>
      <w:tr>
        <w:tc>
          <w:tcPr>
            <w:tcW w:type="dxa" w:w="1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Funcional</w:t>
            </w:r>
          </w:p>
        </w:tc>
        <w:tc>
          <w:tcPr>
            <w:tcW w:type="dxa" w:w="2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Document Manager</w:t>
            </w:r>
          </w:p>
        </w:tc>
        <w:tc>
          <w:tcPr>
            <w:tcW w:type="dxa" w:w="5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Gestión del repositorio documental asignado</w:t>
            </w:r>
          </w:p>
        </w:tc>
      </w:tr>
      <w:tr>
        <w:tc>
          <w:tcPr>
            <w:tcW w:type="dxa" w:w="1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Funcional</w:t>
            </w:r>
          </w:p>
        </w:tc>
        <w:tc>
          <w:tcPr>
            <w:tcW w:type="dxa" w:w="2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HR Analyst</w:t>
            </w:r>
          </w:p>
        </w:tc>
        <w:tc>
          <w:tcPr>
            <w:tcW w:type="dxa" w:w="5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Acceso a módulos de RRHH y organigramas</w:t>
            </w:r>
          </w:p>
        </w:tc>
      </w:tr>
      <w:tr>
        <w:tc>
          <w:tcPr>
            <w:tcW w:type="dxa" w:w="1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Base</w:t>
            </w:r>
          </w:p>
        </w:tc>
        <w:tc>
          <w:tcPr>
            <w:tcW w:type="dxa" w:w="2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Employee</w:t>
            </w:r>
          </w:p>
        </w:tc>
        <w:tc>
          <w:tcPr>
            <w:tcW w:type="dxa" w:w="5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Acceso estándar a la intranet y sus propios datos</w:t>
            </w:r>
          </w:p>
        </w:tc>
      </w:tr>
      <w:tr>
        <w:tc>
          <w:tcPr>
            <w:tcW w:type="dxa" w:w="1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Base</w:t>
            </w:r>
          </w:p>
        </w:tc>
        <w:tc>
          <w:tcPr>
            <w:tcW w:type="dxa" w:w="2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Guest / Contractor</w:t>
            </w:r>
          </w:p>
        </w:tc>
        <w:tc>
          <w:tcPr>
            <w:tcW w:type="dxa" w:w="5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Acceso restringido a recursos públicos y proyectos asignados</w:t>
            </w:r>
          </w:p>
        </w:tc>
      </w:tr>
    </w:tbl>
    <w:p>
      <w:pPr>
        <w:spacing w:after="60" w:before="60"/>
      </w:pPr>
      <w:r>
        <w:t xml:space="preserve"/>
      </w:r>
    </w:p>
    <w:p>
      <w:pPr>
        <w:pStyle w:val="Heading2"/>
        <w:spacing w:after="80" w:before="240"/>
      </w:pPr>
      <w:r>
        <w:t xml:space="preserve">5.2 Atributos ABAC para control contextual</w:t>
      </w:r>
    </w:p>
    <w:p>
      <w:pPr>
        <w:pStyle w:val="ListParagraph"/>
        <w:numPr>
          <w:ilvl w:val="0"/>
          <w:numId w:val="2"/>
        </w:numPr>
        <w:spacing w:after="40" w:before="40"/>
      </w:pPr>
      <w:r>
        <w:rPr>
          <w:color w:val="4A4A4A"/>
          <w:sz w:val="22"/>
          <w:szCs w:val="22"/>
        </w:rPr>
        <w:t xml:space="preserve">Atributos del sujeto: departamento, cargo, antigüedad, clearance level, estado del contrato, ubicación.</w:t>
      </w:r>
    </w:p>
    <w:p>
      <w:pPr>
        <w:pStyle w:val="ListParagraph"/>
        <w:numPr>
          <w:ilvl w:val="0"/>
          <w:numId w:val="2"/>
        </w:numPr>
        <w:spacing w:after="40" w:before="40"/>
      </w:pPr>
      <w:r>
        <w:rPr>
          <w:color w:val="4A4A4A"/>
          <w:sz w:val="22"/>
          <w:szCs w:val="22"/>
        </w:rPr>
        <w:t xml:space="preserve">Atributos del recurso: clasificación del documento (público/interno/confidencial/restringido), propietario, fecha de creación, etiquetas.</w:t>
      </w:r>
    </w:p>
    <w:p>
      <w:pPr>
        <w:pStyle w:val="ListParagraph"/>
        <w:numPr>
          <w:ilvl w:val="0"/>
          <w:numId w:val="2"/>
        </w:numPr>
        <w:spacing w:after="40" w:before="40"/>
      </w:pPr>
      <w:r>
        <w:rPr>
          <w:color w:val="4A4A4A"/>
          <w:sz w:val="22"/>
          <w:szCs w:val="22"/>
        </w:rPr>
        <w:t xml:space="preserve">Atributos del entorno: hora del día, red de origen (VPN/intranet/internet), dispositivo registrado, resultado del health check de postura de seguridad.</w:t>
      </w:r>
    </w:p>
    <w:p>
      <w:pPr>
        <w:pStyle w:val="ListParagraph"/>
        <w:numPr>
          <w:ilvl w:val="0"/>
          <w:numId w:val="2"/>
        </w:numPr>
        <w:spacing w:after="40" w:before="40"/>
      </w:pPr>
      <w:r>
        <w:rPr>
          <w:color w:val="4A4A4A"/>
          <w:sz w:val="22"/>
          <w:szCs w:val="22"/>
        </w:rPr>
        <w:t xml:space="preserve">Atributos de acción: operación solicitada (read/write/delete/share/export), contexto de la sesión.</w:t>
      </w:r>
    </w:p>
    <w:p>
      <w:pPr>
        <w:spacing w:after="60" w:before="60"/>
      </w:pPr>
      <w:r>
        <w:t xml:space="preserve"/>
      </w:r>
    </w:p>
    <w:p>
      <w:pPr>
        <w:pStyle w:val="Heading2"/>
        <w:spacing w:after="80" w:before="240"/>
      </w:pPr>
      <w:r>
        <w:t xml:space="preserve">5.3 Single Sign-On (SSO)</w:t>
      </w:r>
    </w:p>
    <w:p>
      <w:pPr>
        <w:spacing w:after="60" w:before="60"/>
        <w:jc w:val="both"/>
      </w:pPr>
      <w:r>
        <w:rPr>
          <w:color w:val="4A4A4A"/>
          <w:sz w:val="22"/>
          <w:szCs w:val="22"/>
        </w:rPr>
        <w:t xml:space="preserve">Keycloak actúa como Identity Provider (IdP) central, federando identidades desde el Active Directory / LDAP corporativo mediante LDAP Sync o SCIM 2.0. Todos los servicios de la plataforma delegan la autenticación en Keycloak, eliminando la gestión distribuida de contraseñas.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Protocolo SSO</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OpenID Connect (OIDC) para aplicaciones web y móvil</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Protocolo empresarial</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SAML 2.0 para integración con aplicaciones legacy</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Federación de identidades</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SCIM 2.0 para aprovisionamiento/desaprovisionamiento automático desde RRHH</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MFA</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TOTP (Google Authenticator), WebAuthn (FIDO2), SMS como respaldo</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Tokens</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JWT con firma RS256, refresh token rotation, cortos TTL (15 min access / 8h refresh)</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Device Trust</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Registro de dispositivos con certificate pinning para acceso privilegiado</w:t>
            </w:r>
          </w:p>
        </w:tc>
      </w:tr>
    </w:tbl>
    <w:p>
      <w:pPr>
        <w:spacing w:after="60" w:before="60"/>
      </w:pPr>
      <w:r>
        <w:t xml:space="preserve"/>
      </w:r>
    </w:p>
    <w:p>
      <w:pPr>
        <w:pStyle w:val="Heading2"/>
        <w:spacing w:after="80" w:before="240"/>
      </w:pPr>
      <w:r>
        <w:t xml:space="preserve">5.4 Capacidades de auditoría</w:t>
      </w:r>
    </w:p>
    <w:p>
      <w:pPr>
        <w:spacing w:after="60" w:before="60"/>
        <w:jc w:val="both"/>
      </w:pPr>
      <w:r>
        <w:rPr>
          <w:color w:val="4A4A4A"/>
          <w:sz w:val="22"/>
          <w:szCs w:val="22"/>
        </w:rPr>
        <w:t xml:space="preserve">El Audit Service captura de forma inmutable todos los eventos de acceso, modificación y administración de la plataforma. Los registros se almacenan en Elasticsearch con índices de ciclo de vida (ILM), y en S3 como respaldo cold para cumplimiento normativo a largo plazo.</w:t>
      </w:r>
    </w:p>
    <w:p>
      <w:pPr>
        <w:spacing w:after="60" w:before="60"/>
      </w:pPr>
      <w:r>
        <w:t xml:space="preserve"/>
      </w:r>
    </w:p>
    <w:p>
      <w:pPr>
        <w:pStyle w:val="ListParagraph"/>
        <w:numPr>
          <w:ilvl w:val="0"/>
          <w:numId w:val="2"/>
        </w:numPr>
        <w:spacing w:after="40" w:before="40"/>
      </w:pPr>
      <w:r>
        <w:rPr>
          <w:color w:val="4A4A4A"/>
          <w:sz w:val="22"/>
          <w:szCs w:val="22"/>
        </w:rPr>
        <w:t xml:space="preserve">Registro de autenticaciones (exitosas y fallidas) con IP, user-agent y geolocalización aproximada.</w:t>
      </w:r>
    </w:p>
    <w:p>
      <w:pPr>
        <w:pStyle w:val="ListParagraph"/>
        <w:numPr>
          <w:ilvl w:val="0"/>
          <w:numId w:val="2"/>
        </w:numPr>
        <w:spacing w:after="40" w:before="40"/>
      </w:pPr>
      <w:r>
        <w:rPr>
          <w:color w:val="4A4A4A"/>
          <w:sz w:val="22"/>
          <w:szCs w:val="22"/>
        </w:rPr>
        <w:t xml:space="preserve">Log de cada evaluación de política de autorización, incluyendo la regla específica que permitió o denegó el acceso.</w:t>
      </w:r>
    </w:p>
    <w:p>
      <w:pPr>
        <w:pStyle w:val="ListParagraph"/>
        <w:numPr>
          <w:ilvl w:val="0"/>
          <w:numId w:val="2"/>
        </w:numPr>
        <w:spacing w:after="40" w:before="40"/>
      </w:pPr>
      <w:r>
        <w:rPr>
          <w:color w:val="4A4A4A"/>
          <w:sz w:val="22"/>
          <w:szCs w:val="22"/>
        </w:rPr>
        <w:t xml:space="preserve">Historial completo de cambios en roles, permisos y políticas con autor y timestamp.</w:t>
      </w:r>
    </w:p>
    <w:p>
      <w:pPr>
        <w:pStyle w:val="ListParagraph"/>
        <w:numPr>
          <w:ilvl w:val="0"/>
          <w:numId w:val="2"/>
        </w:numPr>
        <w:spacing w:after="40" w:before="40"/>
      </w:pPr>
      <w:r>
        <w:rPr>
          <w:color w:val="4A4A4A"/>
          <w:sz w:val="22"/>
          <w:szCs w:val="22"/>
        </w:rPr>
        <w:t xml:space="preserve">Trazabilidad de acciones sobre datos sensibles: acceso, descarga, modificación o eliminación de documentos confidenciales.</w:t>
      </w:r>
    </w:p>
    <w:p>
      <w:pPr>
        <w:pStyle w:val="ListParagraph"/>
        <w:numPr>
          <w:ilvl w:val="0"/>
          <w:numId w:val="2"/>
        </w:numPr>
        <w:spacing w:after="40" w:before="40"/>
      </w:pPr>
      <w:r>
        <w:rPr>
          <w:color w:val="4A4A4A"/>
          <w:sz w:val="22"/>
          <w:szCs w:val="22"/>
        </w:rPr>
        <w:t xml:space="preserve">Dashboards de auditoría en tiempo real para el equipo de seguridad con alertas por comportamientos anómalos (UEBA básico).</w:t>
      </w:r>
    </w:p>
    <w:p>
      <w:pPr>
        <w:pStyle w:val="ListParagraph"/>
        <w:numPr>
          <w:ilvl w:val="0"/>
          <w:numId w:val="2"/>
        </w:numPr>
        <w:spacing w:after="40" w:before="40"/>
      </w:pPr>
      <w:r>
        <w:rPr>
          <w:color w:val="4A4A4A"/>
          <w:sz w:val="22"/>
          <w:szCs w:val="22"/>
        </w:rPr>
        <w:t xml:space="preserve">Exportación de reportes de cumplimiento en formato PDF, CSV y JSON para auditorías internas y externas.</w:t>
      </w:r>
    </w:p>
    <w:p>
      <w:r>
        <w:br w:type="page"/>
      </w:r>
    </w:p>
    <w:p>
      <w:pPr>
        <w:pStyle w:val="Heading1"/>
        <w:pBdr>
          <w:bottom w:val="single" w:color="2E75B6" w:sz="8" w:space="6"/>
        </w:pBdr>
        <w:spacing w:after="120" w:before="360"/>
      </w:pPr>
      <w:r>
        <w:t xml:space="preserve">6. Estrategia de APIs</w:t>
      </w:r>
    </w:p>
    <w:p>
      <w:pPr>
        <w:pStyle w:val="Heading2"/>
        <w:spacing w:after="80" w:before="240"/>
      </w:pPr>
      <w:r>
        <w:t xml:space="preserve">6.1 Modelo dual: RESTful + GraphQL</w:t>
      </w:r>
    </w:p>
    <w:p>
      <w:pPr>
        <w:spacing w:after="60" w:before="60"/>
        <w:jc w:val="both"/>
      </w:pPr>
      <w:r>
        <w:rPr>
          <w:color w:val="4A4A4A"/>
          <w:sz w:val="22"/>
          <w:szCs w:val="22"/>
        </w:rPr>
        <w:t xml:space="preserve">La plataforma adopta una estrategia de API dual, aprovechando las fortalezas de cada paradigma según el caso de uso. REST se utiliza para operaciones CRUD estándar, integraciones externas y webhooks. GraphQL se reserva para consultas complejas, datos relacionales y experiencias de frontend que requieren flexibilidad en la proyección de datos.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Paradigma</w:t>
            </w:r>
          </w:p>
        </w:tc>
        <w:tc>
          <w:tcPr>
            <w:tcW w:type="dxa" w:w="4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Casos de uso</w:t>
            </w:r>
          </w:p>
        </w:tc>
        <w:tc>
          <w:tcPr>
            <w:tcW w:type="dxa" w:w="3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Servicios</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RESTful (OpenAPI 3.1)</w:t>
            </w:r>
          </w:p>
        </w:tc>
        <w:tc>
          <w:tcPr>
            <w:tcW w:type="dxa" w:w="4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Operaciones CRUD, integraciones externas, webhooks, upload de archivos, operaciones idempotentes</w:t>
            </w:r>
          </w:p>
        </w:tc>
        <w:tc>
          <w:tcPr>
            <w:tcW w:type="dxa" w:w="31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Todos los servicios (capa externa)</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GraphQL (Federation)</w:t>
            </w:r>
          </w:p>
        </w:tc>
        <w:tc>
          <w:tcPr>
            <w:tcW w:type="dxa" w:w="4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Consultas complejas con joins entre dominios, subscriptions en tiempo real, frontend data fetching optimizado</w:t>
            </w:r>
          </w:p>
        </w:tc>
        <w:tc>
          <w:tcPr>
            <w:tcW w:type="dxa" w:w="31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User, Content, Org Chart, Analytics, Document</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gRPC</w:t>
            </w:r>
          </w:p>
        </w:tc>
        <w:tc>
          <w:tcPr>
            <w:tcW w:type="dxa" w:w="4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Comunicación interna entre microservicios, baja latencia, streaming bidireccional</w:t>
            </w:r>
          </w:p>
        </w:tc>
        <w:tc>
          <w:tcPr>
            <w:tcW w:type="dxa" w:w="31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Identity ↔ Auth, Notification, Audit (interno)</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WebSockets / SSE</w:t>
            </w:r>
          </w:p>
        </w:tc>
        <w:tc>
          <w:tcPr>
            <w:tcW w:type="dxa" w:w="4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Notificaciones push, colaboración en tiempo real, indicadores de presencia</w:t>
            </w:r>
          </w:p>
        </w:tc>
        <w:tc>
          <w:tcPr>
            <w:tcW w:type="dxa" w:w="31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Notification Service, Collaboration features</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Webhooks</w:t>
            </w:r>
          </w:p>
        </w:tc>
        <w:tc>
          <w:tcPr>
            <w:tcW w:type="dxa" w:w="4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Eventos salientes hacia sistemas externos, integraciones asíncronas</w:t>
            </w:r>
          </w:p>
        </w:tc>
        <w:tc>
          <w:tcPr>
            <w:tcW w:type="dxa" w:w="31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Integration Hub</w:t>
            </w:r>
          </w:p>
        </w:tc>
      </w:tr>
    </w:tbl>
    <w:p>
      <w:pPr>
        <w:spacing w:after="60" w:before="60"/>
      </w:pPr>
      <w:r>
        <w:t xml:space="preserve"/>
      </w:r>
    </w:p>
    <w:p>
      <w:pPr>
        <w:pStyle w:val="Heading2"/>
        <w:spacing w:after="80" w:before="240"/>
      </w:pPr>
      <w:r>
        <w:t xml:space="preserve">6.2 API Gateway y gobierno</w:t>
      </w:r>
    </w:p>
    <w:p>
      <w:pPr>
        <w:spacing w:after="60" w:before="60"/>
        <w:jc w:val="both"/>
      </w:pPr>
      <w:r>
        <w:rPr>
          <w:color w:val="4A4A4A"/>
          <w:sz w:val="22"/>
          <w:szCs w:val="22"/>
        </w:rPr>
        <w:t xml:space="preserve">Kong Gateway centraliza el acceso a todas las APIs públicas e internas, aplicando políticas de forma declarativa sin modificar el código de los servicios.</w:t>
      </w:r>
    </w:p>
    <w:p>
      <w:pPr>
        <w:spacing w:after="60" w:before="60"/>
      </w:pPr>
      <w:r>
        <w:t xml:space="preserve"/>
      </w:r>
    </w:p>
    <w:p>
      <w:pPr>
        <w:pStyle w:val="ListParagraph"/>
        <w:numPr>
          <w:ilvl w:val="0"/>
          <w:numId w:val="2"/>
        </w:numPr>
        <w:spacing w:after="40" w:before="40"/>
      </w:pPr>
      <w:r>
        <w:rPr>
          <w:color w:val="4A4A4A"/>
          <w:sz w:val="22"/>
          <w:szCs w:val="22"/>
        </w:rPr>
        <w:t xml:space="preserve">Rate Limiting: por cliente, por endpoint y por tier (standard/premium/internal).</w:t>
      </w:r>
    </w:p>
    <w:p>
      <w:pPr>
        <w:pStyle w:val="ListParagraph"/>
        <w:numPr>
          <w:ilvl w:val="0"/>
          <w:numId w:val="2"/>
        </w:numPr>
        <w:spacing w:after="40" w:before="40"/>
      </w:pPr>
      <w:r>
        <w:rPr>
          <w:color w:val="4A4A4A"/>
          <w:sz w:val="22"/>
          <w:szCs w:val="22"/>
        </w:rPr>
        <w:t xml:space="preserve">Autenticación centralizada: validación de JWT y verificación contra Keycloak en el gateway.</w:t>
      </w:r>
    </w:p>
    <w:p>
      <w:pPr>
        <w:pStyle w:val="ListParagraph"/>
        <w:numPr>
          <w:ilvl w:val="0"/>
          <w:numId w:val="2"/>
        </w:numPr>
        <w:spacing w:after="40" w:before="40"/>
      </w:pPr>
      <w:r>
        <w:rPr>
          <w:color w:val="4A4A4A"/>
          <w:sz w:val="22"/>
          <w:szCs w:val="22"/>
        </w:rPr>
        <w:t xml:space="preserve">Request/Response transformation: normalización de headers, enmascaramiento de campos sensibles en responses.</w:t>
      </w:r>
    </w:p>
    <w:p>
      <w:pPr>
        <w:pStyle w:val="ListParagraph"/>
        <w:numPr>
          <w:ilvl w:val="0"/>
          <w:numId w:val="2"/>
        </w:numPr>
        <w:spacing w:after="40" w:before="40"/>
      </w:pPr>
      <w:r>
        <w:rPr>
          <w:color w:val="4A4A4A"/>
          <w:sz w:val="22"/>
          <w:szCs w:val="22"/>
        </w:rPr>
        <w:t xml:space="preserve">Logging y trazas: cada request registrado con trace ID correlacionado con Jaeger.</w:t>
      </w:r>
    </w:p>
    <w:p>
      <w:pPr>
        <w:pStyle w:val="ListParagraph"/>
        <w:numPr>
          <w:ilvl w:val="0"/>
          <w:numId w:val="2"/>
        </w:numPr>
        <w:spacing w:after="40" w:before="40"/>
      </w:pPr>
      <w:r>
        <w:rPr>
          <w:color w:val="4A4A4A"/>
          <w:sz w:val="22"/>
          <w:szCs w:val="22"/>
        </w:rPr>
        <w:t xml:space="preserve">Versioning: rutas versionadas (/api/v1/, /api/v2/) con soporte de deprecación gradual y sunset headers.</w:t>
      </w:r>
    </w:p>
    <w:p>
      <w:pPr>
        <w:pStyle w:val="ListParagraph"/>
        <w:numPr>
          <w:ilvl w:val="0"/>
          <w:numId w:val="2"/>
        </w:numPr>
        <w:spacing w:after="40" w:before="40"/>
      </w:pPr>
      <w:r>
        <w:rPr>
          <w:color w:val="4A4A4A"/>
          <w:sz w:val="22"/>
          <w:szCs w:val="22"/>
        </w:rPr>
        <w:t xml:space="preserve">Circuit breaking y health checks: eliminación automática de instancias no saludables del pool.</w:t>
      </w:r>
    </w:p>
    <w:p>
      <w:pPr>
        <w:spacing w:after="60" w:before="60"/>
      </w:pPr>
      <w:r>
        <w:t xml:space="preserve"/>
      </w:r>
    </w:p>
    <w:p>
      <w:pPr>
        <w:pStyle w:val="Heading2"/>
        <w:spacing w:after="80" w:before="240"/>
      </w:pPr>
      <w:r>
        <w:t xml:space="preserve">6.3 Contrato y documentación de APIs</w:t>
      </w:r>
    </w:p>
    <w:p>
      <w:pPr>
        <w:pStyle w:val="ListParagraph"/>
        <w:numPr>
          <w:ilvl w:val="0"/>
          <w:numId w:val="2"/>
        </w:numPr>
        <w:spacing w:after="40" w:before="40"/>
      </w:pPr>
      <w:r>
        <w:rPr>
          <w:color w:val="4A4A4A"/>
          <w:sz w:val="22"/>
          <w:szCs w:val="22"/>
        </w:rPr>
        <w:t xml:space="preserve">OpenAPI 3.1: especificación generada automáticamente desde el código (NestJS Swagger) y publicada en un portal interno de developer.</w:t>
      </w:r>
    </w:p>
    <w:p>
      <w:pPr>
        <w:pStyle w:val="ListParagraph"/>
        <w:numPr>
          <w:ilvl w:val="0"/>
          <w:numId w:val="2"/>
        </w:numPr>
        <w:spacing w:after="40" w:before="40"/>
      </w:pPr>
      <w:r>
        <w:rPr>
          <w:color w:val="4A4A4A"/>
          <w:sz w:val="22"/>
          <w:szCs w:val="22"/>
        </w:rPr>
        <w:t xml:space="preserve">GraphQL Schema Registry: Apollo Schema Registry con validación de compatibilidad antes de cada despliegue.</w:t>
      </w:r>
    </w:p>
    <w:p>
      <w:pPr>
        <w:pStyle w:val="ListParagraph"/>
        <w:numPr>
          <w:ilvl w:val="0"/>
          <w:numId w:val="2"/>
        </w:numPr>
        <w:spacing w:after="40" w:before="40"/>
      </w:pPr>
      <w:r>
        <w:rPr>
          <w:color w:val="4A4A4A"/>
          <w:sz w:val="22"/>
          <w:szCs w:val="22"/>
        </w:rPr>
        <w:t xml:space="preserve">Contract Testing: Pact para validar que consumidores y proveedores son compatibles en cada cambio (consumer-driven contract testing).</w:t>
      </w:r>
    </w:p>
    <w:p>
      <w:pPr>
        <w:pStyle w:val="ListParagraph"/>
        <w:numPr>
          <w:ilvl w:val="0"/>
          <w:numId w:val="2"/>
        </w:numPr>
        <w:spacing w:after="40" w:before="40"/>
      </w:pPr>
      <w:r>
        <w:rPr>
          <w:color w:val="4A4A4A"/>
          <w:sz w:val="22"/>
          <w:szCs w:val="22"/>
        </w:rPr>
        <w:t xml:space="preserve">Semantic Versioning: todas las APIs siguen SemVer; breaking changes solo en cambios de versión mayor con periodo de deprecación de 90 días.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D9E8F5" w:val="clear"/>
            <w:tcMar>
              <w:top w:type="dxa" w:w="100"/>
              <w:left w:type="dxa" w:w="120"/>
              <w:bottom w:type="dxa" w:w="100"/>
              <w:right w:type="dxa" w:w="100"/>
            </w:tcMar>
          </w:tcPr>
          <w:p>
            <w:pPr>
              <w:jc w:val="center"/>
            </w:pPr>
            <w:r>
              <w:rPr>
                <w:b/>
                <w:bCs/>
                <w:color w:val="2E75B6"/>
                <w:sz w:val="20"/>
                <w:szCs w:val="20"/>
              </w:rPr>
              <w:t xml:space="preserve">DEVELOPER PORTAL</w:t>
            </w:r>
          </w:p>
        </w:tc>
        <w:tc>
          <w:tcPr>
            <w:tcW w:type="dxa" w:w="8360"/>
            <w:tcBorders>
              <w:top w:val="none" w:color="FFFFFF" w:sz="0"/>
              <w:left w:val="single" w:color="2E75B6" w:sz="12"/>
              <w:bottom w:val="none" w:color="FFFFFF" w:sz="0"/>
              <w:right w:val="none" w:color="FFFFFF" w:sz="0"/>
            </w:tcBorders>
            <w:shd w:fill="D9E8F5" w:val="clear"/>
            <w:tcMar>
              <w:top w:type="dxa" w:w="100"/>
              <w:left w:type="dxa" w:w="160"/>
              <w:bottom w:type="dxa" w:w="100"/>
              <w:right w:type="dxa" w:w="120"/>
            </w:tcMar>
          </w:tcPr>
          <w:p>
            <w:pPr>
              <w:jc w:val="both"/>
            </w:pPr>
            <w:r>
              <w:rPr>
                <w:color w:val="4A4A4A"/>
                <w:sz w:val="21"/>
                <w:szCs w:val="21"/>
              </w:rPr>
              <w:t xml:space="preserve">Se desplegará un portal interno de APIs (basado en Backstage.io) donde los equipos pueden descubrir, probar y suscribirse a APIs. Incluye sandboxes de prueba, generación de clientes SDK en múltiples lenguajes y documentación interactiva.</w:t>
            </w:r>
          </w:p>
        </w:tc>
      </w:tr>
    </w:tbl>
    <w:p>
      <w:r>
        <w:br w:type="page"/>
      </w:r>
    </w:p>
    <w:p>
      <w:pPr>
        <w:pStyle w:val="Heading1"/>
        <w:pBdr>
          <w:bottom w:val="single" w:color="2E75B6" w:sz="8" w:space="6"/>
        </w:pBdr>
        <w:spacing w:after="120" w:before="360"/>
      </w:pPr>
      <w:r>
        <w:t xml:space="preserve">7. Seguridad y Cumplimiento</w:t>
      </w:r>
    </w:p>
    <w:p>
      <w:pPr>
        <w:pStyle w:val="Heading2"/>
        <w:spacing w:after="80" w:before="240"/>
      </w:pPr>
      <w:r>
        <w:t xml:space="preserve">7.1 Modelo Zero Trust</w:t>
      </w:r>
    </w:p>
    <w:p>
      <w:pPr>
        <w:spacing w:after="60" w:before="60"/>
        <w:jc w:val="both"/>
      </w:pPr>
      <w:r>
        <w:rPr>
          <w:color w:val="4A4A4A"/>
          <w:sz w:val="22"/>
          <w:szCs w:val="22"/>
        </w:rPr>
        <w:t xml:space="preserve">La plataforma adopta una postura de Zero Trust: ninguna solicitud es confiable por defecto, independientemente de si proviene de dentro o fuera de la red corporativa. Cada petición se autentica, se autoriza y se cifra.</w:t>
      </w:r>
    </w:p>
    <w:p>
      <w:pPr>
        <w:spacing w:after="60" w:before="60"/>
      </w:pPr>
      <w:r>
        <w:t xml:space="preserve"/>
      </w:r>
    </w:p>
    <w:p>
      <w:pPr>
        <w:pStyle w:val="Heading3"/>
        <w:spacing w:after="60" w:before="160"/>
      </w:pPr>
      <w:r>
        <w:rPr>
          <w:color w:val="1D6A72"/>
        </w:rPr>
        <w:t xml:space="preserve">Capas de defensa</w:t>
      </w:r>
    </w:p>
    <w:p>
      <w:pPr>
        <w:pStyle w:val="ListParagraph"/>
        <w:numPr>
          <w:ilvl w:val="0"/>
          <w:numId w:val="2"/>
        </w:numPr>
        <w:spacing w:after="40" w:before="40"/>
      </w:pPr>
      <w:r>
        <w:rPr>
          <w:color w:val="4A4A4A"/>
          <w:sz w:val="22"/>
          <w:szCs w:val="22"/>
        </w:rPr>
        <w:t xml:space="preserve">Capa de red: WAF (Web Application Firewall), DDoS protection, segmentación de red con Network Policies en Kubernetes.</w:t>
      </w:r>
    </w:p>
    <w:p>
      <w:pPr>
        <w:pStyle w:val="ListParagraph"/>
        <w:numPr>
          <w:ilvl w:val="0"/>
          <w:numId w:val="2"/>
        </w:numPr>
        <w:spacing w:after="40" w:before="40"/>
      </w:pPr>
      <w:r>
        <w:rPr>
          <w:color w:val="4A4A4A"/>
          <w:sz w:val="22"/>
          <w:szCs w:val="22"/>
        </w:rPr>
        <w:t xml:space="preserve">Capa de transporte: TLS 1.3 obligatorio en todos los endpoints externos; mTLS entre microservicios vía Istio.</w:t>
      </w:r>
    </w:p>
    <w:p>
      <w:pPr>
        <w:pStyle w:val="ListParagraph"/>
        <w:numPr>
          <w:ilvl w:val="0"/>
          <w:numId w:val="2"/>
        </w:numPr>
        <w:spacing w:after="40" w:before="40"/>
      </w:pPr>
      <w:r>
        <w:rPr>
          <w:color w:val="4A4A4A"/>
          <w:sz w:val="22"/>
          <w:szCs w:val="22"/>
        </w:rPr>
        <w:t xml:space="preserve">Capa de identidad: MFA obligatorio, device trust, token rotation automática, detección de sesiones anómalas.</w:t>
      </w:r>
    </w:p>
    <w:p>
      <w:pPr>
        <w:pStyle w:val="ListParagraph"/>
        <w:numPr>
          <w:ilvl w:val="0"/>
          <w:numId w:val="2"/>
        </w:numPr>
        <w:spacing w:after="40" w:before="40"/>
      </w:pPr>
      <w:r>
        <w:rPr>
          <w:color w:val="4A4A4A"/>
          <w:sz w:val="22"/>
          <w:szCs w:val="22"/>
        </w:rPr>
        <w:t xml:space="preserve">Capa de aplicación: input validation, output encoding, protección CSRF, content security policy (CSP) estricta.</w:t>
      </w:r>
    </w:p>
    <w:p>
      <w:pPr>
        <w:pStyle w:val="ListParagraph"/>
        <w:numPr>
          <w:ilvl w:val="0"/>
          <w:numId w:val="2"/>
        </w:numPr>
        <w:spacing w:after="40" w:before="40"/>
      </w:pPr>
      <w:r>
        <w:rPr>
          <w:color w:val="4A4A4A"/>
          <w:sz w:val="22"/>
          <w:szCs w:val="22"/>
        </w:rPr>
        <w:t xml:space="preserve">Capa de datos: cifrado en reposo (AES-256), field-level encryption para datos PII, row-level security en PostgreSQL.</w:t>
      </w:r>
    </w:p>
    <w:p>
      <w:pPr>
        <w:pStyle w:val="ListParagraph"/>
        <w:numPr>
          <w:ilvl w:val="0"/>
          <w:numId w:val="2"/>
        </w:numPr>
        <w:spacing w:after="40" w:before="40"/>
      </w:pPr>
      <w:r>
        <w:rPr>
          <w:color w:val="4A4A4A"/>
          <w:sz w:val="22"/>
          <w:szCs w:val="22"/>
        </w:rPr>
        <w:t xml:space="preserve">Capa de secretos: ningún secreto en código ni variables de entorno planas; todo gestionado por Vault con rotación automática.</w:t>
      </w:r>
    </w:p>
    <w:p>
      <w:pPr>
        <w:spacing w:after="60" w:before="60"/>
      </w:pPr>
      <w:r>
        <w:t xml:space="preserve"/>
      </w:r>
    </w:p>
    <w:p>
      <w:pPr>
        <w:pStyle w:val="Heading2"/>
        <w:spacing w:after="80" w:before="240"/>
      </w:pPr>
      <w:r>
        <w:t xml:space="preserve">7.2 Seguridad en el ciclo de desarrollo (DevSecOps)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Fase</w:t>
            </w:r>
          </w:p>
        </w:tc>
        <w:tc>
          <w:tcPr>
            <w:tcW w:type="dxa" w:w="33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Control</w:t>
            </w:r>
          </w:p>
        </w:tc>
        <w:tc>
          <w:tcPr>
            <w:tcW w:type="dxa" w:w="4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Herramienta</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Código</w:t>
            </w:r>
          </w:p>
        </w:tc>
        <w:tc>
          <w:tcPr>
            <w:tcW w:type="dxa" w:w="33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Análisis estático de seguridad (SAST)</w:t>
            </w:r>
          </w:p>
        </w:tc>
        <w:tc>
          <w:tcPr>
            <w:tcW w:type="dxa" w:w="4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SonarQube + Semgrep</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Código</w:t>
            </w:r>
          </w:p>
        </w:tc>
        <w:tc>
          <w:tcPr>
            <w:tcW w:type="dxa" w:w="33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Escaneo de dependencias (SCA)</w:t>
            </w:r>
          </w:p>
        </w:tc>
        <w:tc>
          <w:tcPr>
            <w:tcW w:type="dxa" w:w="4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Dependabot + Snyk</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Build</w:t>
            </w:r>
          </w:p>
        </w:tc>
        <w:tc>
          <w:tcPr>
            <w:tcW w:type="dxa" w:w="33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Escaneo de imágenes de contenedor</w:t>
            </w:r>
          </w:p>
        </w:tc>
        <w:tc>
          <w:tcPr>
            <w:tcW w:type="dxa" w:w="4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Trivy + Grype</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Infraestructura</w:t>
            </w:r>
          </w:p>
        </w:tc>
        <w:tc>
          <w:tcPr>
            <w:tcW w:type="dxa" w:w="33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Policy as Code para infra (IaC scanning)</w:t>
            </w:r>
          </w:p>
        </w:tc>
        <w:tc>
          <w:tcPr>
            <w:tcW w:type="dxa" w:w="4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Checkov + tfsec</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Pre-producción</w:t>
            </w:r>
          </w:p>
        </w:tc>
        <w:tc>
          <w:tcPr>
            <w:tcW w:type="dxa" w:w="33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Análisis dinámico (DAST)</w:t>
            </w:r>
          </w:p>
        </w:tc>
        <w:tc>
          <w:tcPr>
            <w:tcW w:type="dxa" w:w="4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OWASP ZAP</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Pre-producción</w:t>
            </w:r>
          </w:p>
        </w:tc>
        <w:tc>
          <w:tcPr>
            <w:tcW w:type="dxa" w:w="33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Pruebas de penetración automatizadas</w:t>
            </w:r>
          </w:p>
        </w:tc>
        <w:tc>
          <w:tcPr>
            <w:tcW w:type="dxa" w:w="4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Burp Suite Enterprise</w:t>
            </w:r>
          </w:p>
        </w:tc>
      </w:tr>
      <w:tr>
        <w:tc>
          <w:tcPr>
            <w:tcW w:type="dxa" w:w="2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Producción</w:t>
            </w:r>
          </w:p>
        </w:tc>
        <w:tc>
          <w:tcPr>
            <w:tcW w:type="dxa" w:w="33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Runtime security y detección de anomalías</w:t>
            </w:r>
          </w:p>
        </w:tc>
        <w:tc>
          <w:tcPr>
            <w:tcW w:type="dxa" w:w="40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Falco (Kubernetes)</w:t>
            </w:r>
          </w:p>
        </w:tc>
      </w:tr>
      <w:tr>
        <w:tc>
          <w:tcPr>
            <w:tcW w:type="dxa" w:w="2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Producción</w:t>
            </w:r>
          </w:p>
        </w:tc>
        <w:tc>
          <w:tcPr>
            <w:tcW w:type="dxa" w:w="33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Gestión de vulnerabilidades continua</w:t>
            </w:r>
          </w:p>
        </w:tc>
        <w:tc>
          <w:tcPr>
            <w:tcW w:type="dxa" w:w="40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Wiz / Aqua Security</w:t>
            </w:r>
          </w:p>
        </w:tc>
      </w:tr>
    </w:tbl>
    <w:p>
      <w:pPr>
        <w:spacing w:after="60" w:before="60"/>
      </w:pPr>
      <w:r>
        <w:t xml:space="preserve"/>
      </w:r>
    </w:p>
    <w:p>
      <w:pPr>
        <w:pStyle w:val="Heading2"/>
        <w:spacing w:after="80" w:before="240"/>
      </w:pPr>
      <w:r>
        <w:t xml:space="preserve">7.3 Clasificación de datos y privacidad</w:t>
      </w:r>
    </w:p>
    <w:p>
      <w:pPr>
        <w:pStyle w:val="ListParagraph"/>
        <w:numPr>
          <w:ilvl w:val="0"/>
          <w:numId w:val="2"/>
        </w:numPr>
        <w:spacing w:after="40" w:before="40"/>
      </w:pPr>
      <w:r>
        <w:rPr>
          <w:color w:val="4A4A4A"/>
          <w:sz w:val="22"/>
          <w:szCs w:val="22"/>
        </w:rPr>
        <w:t xml:space="preserve">Los datos se clasifican en cuatro niveles: Público, Interno, Confidencial y Restringido.</w:t>
      </w:r>
    </w:p>
    <w:p>
      <w:pPr>
        <w:pStyle w:val="ListParagraph"/>
        <w:numPr>
          <w:ilvl w:val="0"/>
          <w:numId w:val="2"/>
        </w:numPr>
        <w:spacing w:after="40" w:before="40"/>
      </w:pPr>
      <w:r>
        <w:rPr>
          <w:color w:val="4A4A4A"/>
          <w:sz w:val="22"/>
          <w:szCs w:val="22"/>
        </w:rPr>
        <w:t xml:space="preserve">Las políticas de retención y eliminación se configuran por tipo de dato y se aplican automáticamente por el Audit Service.</w:t>
      </w:r>
    </w:p>
    <w:p>
      <w:pPr>
        <w:pStyle w:val="ListParagraph"/>
        <w:numPr>
          <w:ilvl w:val="0"/>
          <w:numId w:val="2"/>
        </w:numPr>
        <w:spacing w:after="40" w:before="40"/>
      </w:pPr>
      <w:r>
        <w:rPr>
          <w:color w:val="4A4A4A"/>
          <w:sz w:val="22"/>
          <w:szCs w:val="22"/>
        </w:rPr>
        <w:t xml:space="preserve">Cumplimiento con normativas aplicables: GDPR para usuarios europeos, con mecanismos de derecho al olvido y portabilidad.</w:t>
      </w:r>
    </w:p>
    <w:p>
      <w:pPr>
        <w:pStyle w:val="ListParagraph"/>
        <w:numPr>
          <w:ilvl w:val="0"/>
          <w:numId w:val="2"/>
        </w:numPr>
        <w:spacing w:after="40" w:before="40"/>
      </w:pPr>
      <w:r>
        <w:rPr>
          <w:color w:val="4A4A4A"/>
          <w:sz w:val="22"/>
          <w:szCs w:val="22"/>
        </w:rPr>
        <w:t xml:space="preserve">Data Masking dinámico en respuestas de API para usuarios sin clearance suficiente, sin exponer la existencia del campo.</w:t>
      </w:r>
    </w:p>
    <w:p>
      <w:r>
        <w:br w:type="page"/>
      </w:r>
    </w:p>
    <w:p>
      <w:pPr>
        <w:pStyle w:val="Heading1"/>
        <w:pBdr>
          <w:bottom w:val="single" w:color="2E75B6" w:sz="8" w:space="6"/>
        </w:pBdr>
        <w:spacing w:after="120" w:before="360"/>
      </w:pPr>
      <w:r>
        <w:t xml:space="preserve">8. Experiencia de Usuario (UX/UI)</w:t>
      </w:r>
    </w:p>
    <w:p>
      <w:pPr>
        <w:pStyle w:val="Heading2"/>
        <w:spacing w:after="80" w:before="240"/>
      </w:pPr>
      <w:r>
        <w:t xml:space="preserve">8.1 Design System corporativo</w:t>
      </w:r>
    </w:p>
    <w:p>
      <w:pPr>
        <w:spacing w:after="60" w:before="60"/>
        <w:jc w:val="both"/>
      </w:pPr>
      <w:r>
        <w:rPr>
          <w:color w:val="4A4A4A"/>
          <w:sz w:val="22"/>
          <w:szCs w:val="22"/>
        </w:rPr>
        <w:t xml:space="preserve">Se construirá un Design System propietario documentado en Storybook, basado en una arquitectura de tokens de diseño (colores, tipografía, espaciado, radios) que se traduce automáticamente a variables CSS y tokens de Tailwind. Este sistema garantiza coherencia visual en todos los módulos, incluyendo los desarrollados por equipos externos.</w:t>
      </w:r>
    </w:p>
    <w:p>
      <w:pPr>
        <w:spacing w:after="60" w:before="60"/>
      </w:pPr>
      <w:r>
        <w:t xml:space="preserve"/>
      </w:r>
    </w:p>
    <w:p>
      <w:pPr>
        <w:pStyle w:val="Heading2"/>
        <w:spacing w:after="80" w:before="240"/>
      </w:pPr>
      <w:r>
        <w:t xml:space="preserve">8.2 Principios de experiencia</w:t>
      </w:r>
    </w:p>
    <w:p>
      <w:pPr>
        <w:pStyle w:val="ListParagraph"/>
        <w:numPr>
          <w:ilvl w:val="0"/>
          <w:numId w:val="2"/>
        </w:numPr>
        <w:spacing w:after="40" w:before="40"/>
      </w:pPr>
      <w:r>
        <w:rPr>
          <w:color w:val="4A4A4A"/>
          <w:sz w:val="22"/>
          <w:szCs w:val="22"/>
        </w:rPr>
        <w:t xml:space="preserve">Progressive Disclosure: mostrar solo la información relevante para el contexto actual del usuario; la complejidad se revela bajo demanda.</w:t>
      </w:r>
    </w:p>
    <w:p>
      <w:pPr>
        <w:pStyle w:val="ListParagraph"/>
        <w:numPr>
          <w:ilvl w:val="0"/>
          <w:numId w:val="2"/>
        </w:numPr>
        <w:spacing w:after="40" w:before="40"/>
      </w:pPr>
      <w:r>
        <w:rPr>
          <w:color w:val="4A4A4A"/>
          <w:sz w:val="22"/>
          <w:szCs w:val="22"/>
        </w:rPr>
        <w:t xml:space="preserve">Personalización: el dashboard principal es totalmente configurable por el usuario, con widgets que reflejan su rol y proyectos activos.</w:t>
      </w:r>
    </w:p>
    <w:p>
      <w:pPr>
        <w:pStyle w:val="ListParagraph"/>
        <w:numPr>
          <w:ilvl w:val="0"/>
          <w:numId w:val="2"/>
        </w:numPr>
        <w:spacing w:after="40" w:before="40"/>
      </w:pPr>
      <w:r>
        <w:rPr>
          <w:color w:val="4A4A4A"/>
          <w:sz w:val="22"/>
          <w:szCs w:val="22"/>
        </w:rPr>
        <w:t xml:space="preserve">Búsqueda universal: una barra de búsqueda federada desde cualquier punto de la plataforma devuelve resultados de todos los dominios con relevancia contextual.</w:t>
      </w:r>
    </w:p>
    <w:p>
      <w:pPr>
        <w:pStyle w:val="ListParagraph"/>
        <w:numPr>
          <w:ilvl w:val="0"/>
          <w:numId w:val="2"/>
        </w:numPr>
        <w:spacing w:after="40" w:before="40"/>
      </w:pPr>
      <w:r>
        <w:rPr>
          <w:color w:val="4A4A4A"/>
          <w:sz w:val="22"/>
          <w:szCs w:val="22"/>
        </w:rPr>
        <w:t xml:space="preserve">Mobile-first responsive: la interfaz es completamente funcional desde dispositivos móviles con soporte de PWA para uso offline básico.</w:t>
      </w:r>
    </w:p>
    <w:p>
      <w:pPr>
        <w:pStyle w:val="ListParagraph"/>
        <w:numPr>
          <w:ilvl w:val="0"/>
          <w:numId w:val="2"/>
        </w:numPr>
        <w:spacing w:after="40" w:before="40"/>
      </w:pPr>
      <w:r>
        <w:rPr>
          <w:color w:val="4A4A4A"/>
          <w:sz w:val="22"/>
          <w:szCs w:val="22"/>
        </w:rPr>
        <w:t xml:space="preserve">Dark mode y temas: soporte nativo de modo oscuro y personalización de tema a nivel de organización.</w:t>
      </w:r>
    </w:p>
    <w:p>
      <w:pPr>
        <w:spacing w:after="60" w:before="60"/>
      </w:pPr>
      <w:r>
        <w:t xml:space="preserve"/>
      </w:r>
    </w:p>
    <w:p>
      <w:pPr>
        <w:pStyle w:val="Heading2"/>
        <w:spacing w:after="80" w:before="240"/>
      </w:pPr>
      <w:r>
        <w:t xml:space="preserve">8.3 Proceso de diseño</w:t>
      </w:r>
    </w:p>
    <w:p>
      <w:pPr>
        <w:pStyle w:val="ListParagraph"/>
        <w:numPr>
          <w:ilvl w:val="0"/>
          <w:numId w:val="3"/>
        </w:numPr>
        <w:spacing w:after="40" w:before="40"/>
      </w:pPr>
      <w:r>
        <w:rPr>
          <w:color w:val="4A4A4A"/>
          <w:sz w:val="22"/>
          <w:szCs w:val="22"/>
        </w:rPr>
        <w:t xml:space="preserve">Discovery: talleres de usuario con stakeholders clave para mapear journeys y puntos de dolor.</w:t>
      </w:r>
    </w:p>
    <w:p>
      <w:pPr>
        <w:pStyle w:val="ListParagraph"/>
        <w:numPr>
          <w:ilvl w:val="0"/>
          <w:numId w:val="3"/>
        </w:numPr>
        <w:spacing w:after="40" w:before="40"/>
      </w:pPr>
      <w:r>
        <w:rPr>
          <w:color w:val="4A4A4A"/>
          <w:sz w:val="22"/>
          <w:szCs w:val="22"/>
        </w:rPr>
        <w:t xml:space="preserve">Information Architecture: card sorting y tree testing para validar la navegación antes de maquetar.</w:t>
      </w:r>
    </w:p>
    <w:p>
      <w:pPr>
        <w:pStyle w:val="ListParagraph"/>
        <w:numPr>
          <w:ilvl w:val="0"/>
          <w:numId w:val="3"/>
        </w:numPr>
        <w:spacing w:after="40" w:before="40"/>
      </w:pPr>
      <w:r>
        <w:rPr>
          <w:color w:val="4A4A4A"/>
          <w:sz w:val="22"/>
          <w:szCs w:val="22"/>
        </w:rPr>
        <w:t xml:space="preserve">Wireframes de baja fidelidad: validación rápida de flujos con usuarios reales.</w:t>
      </w:r>
    </w:p>
    <w:p>
      <w:pPr>
        <w:pStyle w:val="ListParagraph"/>
        <w:numPr>
          <w:ilvl w:val="0"/>
          <w:numId w:val="3"/>
        </w:numPr>
        <w:spacing w:after="40" w:before="40"/>
      </w:pPr>
      <w:r>
        <w:rPr>
          <w:color w:val="4A4A4A"/>
          <w:sz w:val="22"/>
          <w:szCs w:val="22"/>
        </w:rPr>
        <w:t xml:space="preserve">Prototipo interactivo (Figma): validación de usabilidad con pruebas moderadas y no moderadas.</w:t>
      </w:r>
    </w:p>
    <w:p>
      <w:pPr>
        <w:pStyle w:val="ListParagraph"/>
        <w:numPr>
          <w:ilvl w:val="0"/>
          <w:numId w:val="3"/>
        </w:numPr>
        <w:spacing w:after="40" w:before="40"/>
      </w:pPr>
      <w:r>
        <w:rPr>
          <w:color w:val="4A4A4A"/>
          <w:sz w:val="22"/>
          <w:szCs w:val="22"/>
        </w:rPr>
        <w:t xml:space="preserve">Design tokens a código: handoff automatizado con Figma Tokens + Style Dictionary.</w:t>
      </w:r>
    </w:p>
    <w:p>
      <w:pPr>
        <w:pStyle w:val="ListParagraph"/>
        <w:numPr>
          <w:ilvl w:val="0"/>
          <w:numId w:val="3"/>
        </w:numPr>
        <w:spacing w:after="40" w:before="40"/>
      </w:pPr>
      <w:r>
        <w:rPr>
          <w:color w:val="4A4A4A"/>
          <w:sz w:val="22"/>
          <w:szCs w:val="22"/>
        </w:rPr>
        <w:t xml:space="preserve">User Acceptance Testing (UAT): validación con usuarios finales antes de cada release mayor.</w:t>
      </w:r>
    </w:p>
    <w:p>
      <w:pPr>
        <w:spacing w:after="60" w:before="60"/>
      </w:pPr>
      <w:r>
        <w:t xml:space="preserve"/>
      </w:r>
    </w:p>
    <w:p>
      <w:pPr>
        <w:pStyle w:val="Heading2"/>
        <w:spacing w:after="80" w:before="240"/>
      </w:pPr>
      <w:r>
        <w:t xml:space="preserve">8.4 Accesibilidad</w:t>
      </w:r>
    </w:p>
    <w:p>
      <w:pPr>
        <w:spacing w:after="60" w:before="60"/>
        <w:jc w:val="both"/>
      </w:pPr>
      <w:r>
        <w:rPr>
          <w:color w:val="4A4A4A"/>
          <w:sz w:val="22"/>
          <w:szCs w:val="22"/>
        </w:rPr>
        <w:t xml:space="preserve">Todos los componentes cumplen con WCAG 2.1 nivel AA. Se realizarán auditorías de accesibilidad con herramientas automatizadas (axe-core en el pipeline de CI) y revisiones manuales con lectores de pantalla (NVDA, VoiceOver). El contraste de colores, la navegación por teclado y el soporte de ARIA son requisitos no negociables.</w:t>
      </w:r>
    </w:p>
    <w:p>
      <w:r>
        <w:br w:type="page"/>
      </w:r>
    </w:p>
    <w:p>
      <w:pPr>
        <w:pStyle w:val="Heading1"/>
        <w:pBdr>
          <w:bottom w:val="single" w:color="2E75B6" w:sz="8" w:space="6"/>
        </w:pBdr>
        <w:spacing w:after="120" w:before="360"/>
      </w:pPr>
      <w:r>
        <w:t xml:space="preserve">9. Metodología de Desarrollo</w:t>
      </w:r>
    </w:p>
    <w:p>
      <w:pPr>
        <w:pStyle w:val="Heading2"/>
        <w:spacing w:after="80" w:before="240"/>
      </w:pPr>
      <w:r>
        <w:t xml:space="preserve">9.1 Scrum adaptado para múltiples equipos</w:t>
      </w:r>
    </w:p>
    <w:p>
      <w:pPr>
        <w:spacing w:after="60" w:before="60"/>
        <w:jc w:val="both"/>
      </w:pPr>
      <w:r>
        <w:rPr>
          <w:color w:val="4A4A4A"/>
          <w:sz w:val="22"/>
          <w:szCs w:val="22"/>
        </w:rPr>
        <w:t xml:space="preserve">Se adopta el framework Scrum con sprints de dos semanas, adaptado para coordinación multi-equipo mediante el modelo SAFe Essentials (Scaled Agile Framework). Cada equipo de microservicio opera con autonomía en sus sprints, sincronizándose en Program Increment Planning (PI Planning) trimestral.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Ceremonia</w:t>
            </w:r>
          </w:p>
        </w:tc>
        <w:tc>
          <w:tcPr>
            <w:tcW w:type="dxa" w:w="1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Frecuencia</w:t>
            </w:r>
          </w:p>
        </w:tc>
        <w:tc>
          <w:tcPr>
            <w:tcW w:type="dxa" w:w="16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Duración</w:t>
            </w:r>
          </w:p>
        </w:tc>
        <w:tc>
          <w:tcPr>
            <w:tcW w:type="dxa" w:w="37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Participantes</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Sprint Planning</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Cada 2 semanas</w:t>
            </w:r>
          </w:p>
        </w:tc>
        <w:tc>
          <w:tcPr>
            <w:tcW w:type="dxa" w:w="1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4 horas</w:t>
            </w:r>
          </w:p>
        </w:tc>
        <w:tc>
          <w:tcPr>
            <w:tcW w:type="dxa" w:w="37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Equipo + Product Owner</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Daily Standup</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Diario</w:t>
            </w:r>
          </w:p>
        </w:tc>
        <w:tc>
          <w:tcPr>
            <w:tcW w:type="dxa" w:w="1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15 min</w:t>
            </w:r>
          </w:p>
        </w:tc>
        <w:tc>
          <w:tcPr>
            <w:tcW w:type="dxa" w:w="37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Equipo de desarrollo</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Sprint Review</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Cada 2 semanas</w:t>
            </w:r>
          </w:p>
        </w:tc>
        <w:tc>
          <w:tcPr>
            <w:tcW w:type="dxa" w:w="1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2 horas</w:t>
            </w:r>
          </w:p>
        </w:tc>
        <w:tc>
          <w:tcPr>
            <w:tcW w:type="dxa" w:w="37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Equipo + Stakeholders</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Sprint Retrospective</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Cada 2 semanas</w:t>
            </w:r>
          </w:p>
        </w:tc>
        <w:tc>
          <w:tcPr>
            <w:tcW w:type="dxa" w:w="1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1.5 horas</w:t>
            </w:r>
          </w:p>
        </w:tc>
        <w:tc>
          <w:tcPr>
            <w:tcW w:type="dxa" w:w="37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Equipo</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Scrum of Scrums</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2x por semana</w:t>
            </w:r>
          </w:p>
        </w:tc>
        <w:tc>
          <w:tcPr>
            <w:tcW w:type="dxa" w:w="1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30 min</w:t>
            </w:r>
          </w:p>
        </w:tc>
        <w:tc>
          <w:tcPr>
            <w:tcW w:type="dxa" w:w="37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Scrum Masters de cada equipo</w:t>
            </w:r>
          </w:p>
        </w:tc>
      </w:tr>
      <w:tr>
        <w:tc>
          <w:tcPr>
            <w:tcW w:type="dxa" w:w="22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PI Planning</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Trimestral</w:t>
            </w:r>
          </w:p>
        </w:tc>
        <w:tc>
          <w:tcPr>
            <w:tcW w:type="dxa" w:w="16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2 días</w:t>
            </w:r>
          </w:p>
        </w:tc>
        <w:tc>
          <w:tcPr>
            <w:tcW w:type="dxa" w:w="37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Todos los equipos + Liderazgo</w:t>
            </w:r>
          </w:p>
        </w:tc>
      </w:tr>
      <w:tr>
        <w:tc>
          <w:tcPr>
            <w:tcW w:type="dxa" w:w="22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Architecture Forum</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Mensual</w:t>
            </w:r>
          </w:p>
        </w:tc>
        <w:tc>
          <w:tcPr>
            <w:tcW w:type="dxa" w:w="16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2 horas</w:t>
            </w:r>
          </w:p>
        </w:tc>
        <w:tc>
          <w:tcPr>
            <w:tcW w:type="dxa" w:w="37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Tech Leads + Arquitecto</w:t>
            </w:r>
          </w:p>
        </w:tc>
      </w:tr>
    </w:tbl>
    <w:p>
      <w:pPr>
        <w:spacing w:after="60" w:before="60"/>
      </w:pPr>
      <w:r>
        <w:t xml:space="preserve"/>
      </w:r>
    </w:p>
    <w:p>
      <w:pPr>
        <w:pStyle w:val="Heading2"/>
        <w:spacing w:after="80" w:before="240"/>
      </w:pPr>
      <w:r>
        <w:t xml:space="preserve">9.2 Definition of Done (DoD)</w:t>
      </w:r>
    </w:p>
    <w:p>
      <w:pPr>
        <w:spacing w:after="60" w:before="60"/>
        <w:jc w:val="both"/>
      </w:pPr>
      <w:r>
        <w:rPr>
          <w:color w:val="4A4A4A"/>
          <w:sz w:val="22"/>
          <w:szCs w:val="22"/>
        </w:rPr>
        <w:t xml:space="preserve">Un ítem se considera completado únicamente cuando cumple todos los criterios del DoD:</w:t>
      </w:r>
    </w:p>
    <w:p>
      <w:pPr>
        <w:pStyle w:val="ListParagraph"/>
        <w:numPr>
          <w:ilvl w:val="0"/>
          <w:numId w:val="2"/>
        </w:numPr>
        <w:spacing w:after="40" w:before="40"/>
      </w:pPr>
      <w:r>
        <w:rPr>
          <w:color w:val="4A4A4A"/>
          <w:sz w:val="22"/>
          <w:szCs w:val="22"/>
        </w:rPr>
        <w:t xml:space="preserve">Código revisado por al menos un par y aprobado en Pull Request.</w:t>
      </w:r>
    </w:p>
    <w:p>
      <w:pPr>
        <w:pStyle w:val="ListParagraph"/>
        <w:numPr>
          <w:ilvl w:val="0"/>
          <w:numId w:val="2"/>
        </w:numPr>
        <w:spacing w:after="40" w:before="40"/>
      </w:pPr>
      <w:r>
        <w:rPr>
          <w:color w:val="4A4A4A"/>
          <w:sz w:val="22"/>
          <w:szCs w:val="22"/>
        </w:rPr>
        <w:t xml:space="preserve">Cobertura de tests unitarios ≥ 80% en el módulo modificado.</w:t>
      </w:r>
    </w:p>
    <w:p>
      <w:pPr>
        <w:pStyle w:val="ListParagraph"/>
        <w:numPr>
          <w:ilvl w:val="0"/>
          <w:numId w:val="2"/>
        </w:numPr>
        <w:spacing w:after="40" w:before="40"/>
      </w:pPr>
      <w:r>
        <w:rPr>
          <w:color w:val="4A4A4A"/>
          <w:sz w:val="22"/>
          <w:szCs w:val="22"/>
        </w:rPr>
        <w:t xml:space="preserve">Tests de integración y E2E pasando en el pipeline de CI.</w:t>
      </w:r>
    </w:p>
    <w:p>
      <w:pPr>
        <w:pStyle w:val="ListParagraph"/>
        <w:numPr>
          <w:ilvl w:val="0"/>
          <w:numId w:val="2"/>
        </w:numPr>
        <w:spacing w:after="40" w:before="40"/>
      </w:pPr>
      <w:r>
        <w:rPr>
          <w:color w:val="4A4A4A"/>
          <w:sz w:val="22"/>
          <w:szCs w:val="22"/>
        </w:rPr>
        <w:t xml:space="preserve">Análisis SAST sin vulnerabilidades críticas ni altas sin resolver.</w:t>
      </w:r>
    </w:p>
    <w:p>
      <w:pPr>
        <w:pStyle w:val="ListParagraph"/>
        <w:numPr>
          <w:ilvl w:val="0"/>
          <w:numId w:val="2"/>
        </w:numPr>
        <w:spacing w:after="40" w:before="40"/>
      </w:pPr>
      <w:r>
        <w:rPr>
          <w:color w:val="4A4A4A"/>
          <w:sz w:val="22"/>
          <w:szCs w:val="22"/>
        </w:rPr>
        <w:t xml:space="preserve">Documentación de API actualizada (OpenAPI / GraphQL schema).</w:t>
      </w:r>
    </w:p>
    <w:p>
      <w:pPr>
        <w:pStyle w:val="ListParagraph"/>
        <w:numPr>
          <w:ilvl w:val="0"/>
          <w:numId w:val="2"/>
        </w:numPr>
        <w:spacing w:after="40" w:before="40"/>
      </w:pPr>
      <w:r>
        <w:rPr>
          <w:color w:val="4A4A4A"/>
          <w:sz w:val="22"/>
          <w:szCs w:val="22"/>
        </w:rPr>
        <w:t xml:space="preserve">Feature flags configurados para rollout gradual en producción.</w:t>
      </w:r>
    </w:p>
    <w:p>
      <w:pPr>
        <w:pStyle w:val="ListParagraph"/>
        <w:numPr>
          <w:ilvl w:val="0"/>
          <w:numId w:val="2"/>
        </w:numPr>
        <w:spacing w:after="40" w:before="40"/>
      </w:pPr>
      <w:r>
        <w:rPr>
          <w:color w:val="4A4A4A"/>
          <w:sz w:val="22"/>
          <w:szCs w:val="22"/>
        </w:rPr>
        <w:t xml:space="preserve">Métricas de observabilidad implementadas (logs estructurados, métricas, traces).</w:t>
      </w:r>
    </w:p>
    <w:p>
      <w:pPr>
        <w:spacing w:after="60" w:before="60"/>
      </w:pPr>
      <w:r>
        <w:t xml:space="preserve"/>
      </w:r>
    </w:p>
    <w:p>
      <w:pPr>
        <w:pStyle w:val="Heading2"/>
        <w:spacing w:after="80" w:before="240"/>
      </w:pPr>
      <w:r>
        <w:t xml:space="preserve">9.3 GitFlow y estrategia de branches</w:t>
      </w:r>
    </w:p>
    <w:p>
      <w:pPr>
        <w:pStyle w:val="ListParagraph"/>
        <w:numPr>
          <w:ilvl w:val="0"/>
          <w:numId w:val="2"/>
        </w:numPr>
        <w:spacing w:after="40" w:before="40"/>
      </w:pPr>
      <w:r>
        <w:rPr>
          <w:color w:val="4A4A4A"/>
          <w:sz w:val="22"/>
          <w:szCs w:val="22"/>
        </w:rPr>
        <w:t xml:space="preserve">main: código en producción. Solo recibe merges desde release branches con aprobación del Tech Lead.</w:t>
      </w:r>
    </w:p>
    <w:p>
      <w:pPr>
        <w:pStyle w:val="ListParagraph"/>
        <w:numPr>
          <w:ilvl w:val="0"/>
          <w:numId w:val="2"/>
        </w:numPr>
        <w:spacing w:after="40" w:before="40"/>
      </w:pPr>
      <w:r>
        <w:rPr>
          <w:color w:val="4A4A4A"/>
          <w:sz w:val="22"/>
          <w:szCs w:val="22"/>
        </w:rPr>
        <w:t xml:space="preserve">develop: integración continua. Los feature branches hacen merge aquí.</w:t>
      </w:r>
    </w:p>
    <w:p>
      <w:pPr>
        <w:pStyle w:val="ListParagraph"/>
        <w:numPr>
          <w:ilvl w:val="0"/>
          <w:numId w:val="2"/>
        </w:numPr>
        <w:spacing w:after="40" w:before="40"/>
      </w:pPr>
      <w:r>
        <w:rPr>
          <w:color w:val="4A4A4A"/>
          <w:sz w:val="22"/>
          <w:szCs w:val="22"/>
        </w:rPr>
        <w:t xml:space="preserve">feature/[ticket-id]-descripcion: branches de trabajo individuales, vida máxima de 5 días.</w:t>
      </w:r>
    </w:p>
    <w:p>
      <w:pPr>
        <w:pStyle w:val="ListParagraph"/>
        <w:numPr>
          <w:ilvl w:val="0"/>
          <w:numId w:val="2"/>
        </w:numPr>
        <w:spacing w:after="40" w:before="40"/>
      </w:pPr>
      <w:r>
        <w:rPr>
          <w:color w:val="4A4A4A"/>
          <w:sz w:val="22"/>
          <w:szCs w:val="22"/>
        </w:rPr>
        <w:t xml:space="preserve">release/[version]: preparación de release, solo bugfixes. Merge a main y develop.</w:t>
      </w:r>
    </w:p>
    <w:p>
      <w:pPr>
        <w:pStyle w:val="ListParagraph"/>
        <w:numPr>
          <w:ilvl w:val="0"/>
          <w:numId w:val="2"/>
        </w:numPr>
        <w:spacing w:after="40" w:before="40"/>
      </w:pPr>
      <w:r>
        <w:rPr>
          <w:color w:val="4A4A4A"/>
          <w:sz w:val="22"/>
          <w:szCs w:val="22"/>
        </w:rPr>
        <w:t xml:space="preserve">hotfix/[ticket-id]: parches urgentes a producción, merge inmediato a main y develop.</w:t>
      </w:r>
    </w:p>
    <w:p>
      <w:r>
        <w:br w:type="page"/>
      </w:r>
    </w:p>
    <w:p>
      <w:pPr>
        <w:pStyle w:val="Heading1"/>
        <w:pBdr>
          <w:bottom w:val="single" w:color="2E75B6" w:sz="8" w:space="6"/>
        </w:pBdr>
        <w:spacing w:after="120" w:before="360"/>
      </w:pPr>
      <w:r>
        <w:t xml:space="preserve">10. Rendimiento y Escalabilidad</w:t>
      </w:r>
    </w:p>
    <w:p>
      <w:pPr>
        <w:pStyle w:val="Heading2"/>
        <w:spacing w:after="80" w:before="240"/>
      </w:pPr>
      <w:r>
        <w:t xml:space="preserve">10.1 Objetivos de rendimiento (SLOs)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Métrica</w:t>
            </w:r>
          </w:p>
        </w:tc>
        <w:tc>
          <w:tcPr>
            <w:tcW w:type="dxa" w:w="1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Objetivo</w:t>
            </w:r>
          </w:p>
        </w:tc>
        <w:tc>
          <w:tcPr>
            <w:tcW w:type="dxa" w:w="47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b/>
                <w:bCs/>
                <w:color w:val="FFFFFF"/>
                <w:sz w:val="21"/>
                <w:szCs w:val="21"/>
              </w:rPr>
              <w:t xml:space="preserve">Medición</w:t>
            </w:r>
          </w:p>
        </w:tc>
      </w:tr>
      <w:tr>
        <w:tc>
          <w:tcPr>
            <w:tcW w:type="dxa" w:w="2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Latencia P95 (API REST)</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&lt; 200ms</w:t>
            </w:r>
          </w:p>
        </w:tc>
        <w:tc>
          <w:tcPr>
            <w:tcW w:type="dxa" w:w="47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Prometheus + Grafana SLO dashboard</w:t>
            </w:r>
          </w:p>
        </w:tc>
      </w:tr>
      <w:tr>
        <w:tc>
          <w:tcPr>
            <w:tcW w:type="dxa" w:w="2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Latencia P95 (GraphQL)</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&lt; 400ms</w:t>
            </w:r>
          </w:p>
        </w:tc>
        <w:tc>
          <w:tcPr>
            <w:tcW w:type="dxa" w:w="47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Apollo Studio + Prometheus</w:t>
            </w:r>
          </w:p>
        </w:tc>
      </w:tr>
      <w:tr>
        <w:tc>
          <w:tcPr>
            <w:tcW w:type="dxa" w:w="2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Time to First Byte (TTFB)</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&lt; 100ms</w:t>
            </w:r>
          </w:p>
        </w:tc>
        <w:tc>
          <w:tcPr>
            <w:tcW w:type="dxa" w:w="47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Lighthouse CI en pipeline</w:t>
            </w:r>
          </w:p>
        </w:tc>
      </w:tr>
      <w:tr>
        <w:tc>
          <w:tcPr>
            <w:tcW w:type="dxa" w:w="2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Largest Contentful Paint (LCP)</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&lt; 2.5s</w:t>
            </w:r>
          </w:p>
        </w:tc>
        <w:tc>
          <w:tcPr>
            <w:tcW w:type="dxa" w:w="47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Core Web Vitals (RUM)</w:t>
            </w:r>
          </w:p>
        </w:tc>
      </w:tr>
      <w:tr>
        <w:tc>
          <w:tcPr>
            <w:tcW w:type="dxa" w:w="2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Disponibilidad</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99.9% mensual</w:t>
            </w:r>
          </w:p>
        </w:tc>
        <w:tc>
          <w:tcPr>
            <w:tcW w:type="dxa" w:w="47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Uptime Robot + Alertmanager</w:t>
            </w:r>
          </w:p>
        </w:tc>
      </w:tr>
      <w:tr>
        <w:tc>
          <w:tcPr>
            <w:tcW w:type="dxa" w:w="2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Throughput</w:t>
            </w:r>
          </w:p>
        </w:tc>
        <w:tc>
          <w:tcPr>
            <w:tcW w:type="dxa" w:w="180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&gt; 5,000 req/s</w:t>
            </w:r>
          </w:p>
        </w:tc>
        <w:tc>
          <w:tcPr>
            <w:tcW w:type="dxa" w:w="47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0"/>
                <w:szCs w:val="20"/>
              </w:rPr>
              <w:t xml:space="preserve">K6 load testing</w:t>
            </w:r>
          </w:p>
        </w:tc>
      </w:tr>
      <w:tr>
        <w:tc>
          <w:tcPr>
            <w:tcW w:type="dxa" w:w="2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Tiempo de inicio en frío</w:t>
            </w:r>
          </w:p>
        </w:tc>
        <w:tc>
          <w:tcPr>
            <w:tcW w:type="dxa" w:w="180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&lt; 30 seg</w:t>
            </w:r>
          </w:p>
        </w:tc>
        <w:tc>
          <w:tcPr>
            <w:tcW w:type="dxa" w:w="47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0"/>
                <w:szCs w:val="20"/>
              </w:rPr>
              <w:t xml:space="preserve">Kubernetes readiness probe</w:t>
            </w:r>
          </w:p>
        </w:tc>
      </w:tr>
    </w:tbl>
    <w:p>
      <w:pPr>
        <w:spacing w:after="60" w:before="60"/>
      </w:pPr>
      <w:r>
        <w:t xml:space="preserve"/>
      </w:r>
    </w:p>
    <w:p>
      <w:pPr>
        <w:pStyle w:val="Heading2"/>
        <w:spacing w:after="80" w:before="240"/>
      </w:pPr>
      <w:r>
        <w:t xml:space="preserve">10.2 Estrategias de escalabilidad</w:t>
      </w:r>
    </w:p>
    <w:p>
      <w:pPr>
        <w:pStyle w:val="ListParagraph"/>
        <w:numPr>
          <w:ilvl w:val="0"/>
          <w:numId w:val="2"/>
        </w:numPr>
        <w:spacing w:after="40" w:before="40"/>
      </w:pPr>
      <w:r>
        <w:rPr>
          <w:color w:val="4A4A4A"/>
          <w:sz w:val="22"/>
          <w:szCs w:val="22"/>
        </w:rPr>
        <w:t xml:space="preserve">Horizontal Pod Autoscaler (HPA): escala automáticamente el número de réplicas de cada servicio basándose en métricas de CPU, memoria y métricas personalizadas (RPS, queue depth).</w:t>
      </w:r>
    </w:p>
    <w:p>
      <w:pPr>
        <w:pStyle w:val="ListParagraph"/>
        <w:numPr>
          <w:ilvl w:val="0"/>
          <w:numId w:val="2"/>
        </w:numPr>
        <w:spacing w:after="40" w:before="40"/>
      </w:pPr>
      <w:r>
        <w:rPr>
          <w:color w:val="4A4A4A"/>
          <w:sz w:val="22"/>
          <w:szCs w:val="22"/>
        </w:rPr>
        <w:t xml:space="preserve">Vertical Pod Autoscaler (VPA): ajusta automáticamente los límites de recursos de los pods según el uso histórico.</w:t>
      </w:r>
    </w:p>
    <w:p>
      <w:pPr>
        <w:pStyle w:val="ListParagraph"/>
        <w:numPr>
          <w:ilvl w:val="0"/>
          <w:numId w:val="2"/>
        </w:numPr>
        <w:spacing w:after="40" w:before="40"/>
      </w:pPr>
      <w:r>
        <w:rPr>
          <w:color w:val="4A4A4A"/>
          <w:sz w:val="22"/>
          <w:szCs w:val="22"/>
        </w:rPr>
        <w:t xml:space="preserve">KEDA (Kubernetes Event-Driven Autoscaling): escala consumidores de Kafka y colas de RabbitMQ en función del lag de mensajes.</w:t>
      </w:r>
    </w:p>
    <w:p>
      <w:pPr>
        <w:pStyle w:val="ListParagraph"/>
        <w:numPr>
          <w:ilvl w:val="0"/>
          <w:numId w:val="2"/>
        </w:numPr>
        <w:spacing w:after="40" w:before="40"/>
      </w:pPr>
      <w:r>
        <w:rPr>
          <w:color w:val="4A4A4A"/>
          <w:sz w:val="22"/>
          <w:szCs w:val="22"/>
        </w:rPr>
        <w:t xml:space="preserve">Database Connection Pooling: PgBouncer en modo transaction pooling para PostgreSQL, evitando saturación de conexiones.</w:t>
      </w:r>
    </w:p>
    <w:p>
      <w:pPr>
        <w:pStyle w:val="ListParagraph"/>
        <w:numPr>
          <w:ilvl w:val="0"/>
          <w:numId w:val="2"/>
        </w:numPr>
        <w:spacing w:after="40" w:before="40"/>
      </w:pPr>
      <w:r>
        <w:rPr>
          <w:color w:val="4A4A4A"/>
          <w:sz w:val="22"/>
          <w:szCs w:val="22"/>
        </w:rPr>
        <w:t xml:space="preserve">Read Replicas: réplicas de lectura en PostgreSQL para consultas de reporting e integraciones de solo lectura.</w:t>
      </w:r>
    </w:p>
    <w:p>
      <w:pPr>
        <w:pStyle w:val="ListParagraph"/>
        <w:numPr>
          <w:ilvl w:val="0"/>
          <w:numId w:val="2"/>
        </w:numPr>
        <w:spacing w:after="40" w:before="40"/>
      </w:pPr>
      <w:r>
        <w:rPr>
          <w:color w:val="4A4A4A"/>
          <w:sz w:val="22"/>
          <w:szCs w:val="22"/>
        </w:rPr>
        <w:t xml:space="preserve">Caché en capas: L1 en memoria (por instancia, máx. 128MB), L2 en Redis Cluster, L3 en CDN para respuestas cacheables.</w:t>
      </w:r>
    </w:p>
    <w:p>
      <w:pPr>
        <w:pStyle w:val="ListParagraph"/>
        <w:numPr>
          <w:ilvl w:val="0"/>
          <w:numId w:val="2"/>
        </w:numPr>
        <w:spacing w:after="40" w:before="40"/>
      </w:pPr>
      <w:r>
        <w:rPr>
          <w:color w:val="4A4A4A"/>
          <w:sz w:val="22"/>
          <w:szCs w:val="22"/>
        </w:rPr>
        <w:t xml:space="preserve">Lazy Loading y code splitting en el frontend: solo se descarga el código necesario para la ruta activa.</w:t>
      </w:r>
    </w:p>
    <w:p>
      <w:pPr>
        <w:spacing w:after="60" w:before="60"/>
      </w:pPr>
      <w:r>
        <w:t xml:space="preserve"/>
      </w:r>
    </w:p>
    <w:p>
      <w:pPr>
        <w:pStyle w:val="Heading2"/>
        <w:spacing w:after="80" w:before="240"/>
      </w:pPr>
      <w:r>
        <w:t xml:space="preserve">10.3 Testing de carga</w:t>
      </w:r>
    </w:p>
    <w:p>
      <w:pPr>
        <w:spacing w:after="60" w:before="60"/>
        <w:jc w:val="both"/>
      </w:pPr>
      <w:r>
        <w:rPr>
          <w:color w:val="4A4A4A"/>
          <w:sz w:val="22"/>
          <w:szCs w:val="22"/>
        </w:rPr>
        <w:t xml:space="preserve">K6 se integra en el pipeline de CI/CD para ejecutar pruebas de carga automáticas en entornos de staging antes de cada release a producción. Los escenarios incluyen carga sostenida, picos de tráfico y pruebas de soak (carga continua de 24h). Los resultados se comparan contra el baseline del release anterior y se bloquea el deploy si hay regresiones de más del 10%.</w:t>
      </w:r>
    </w:p>
    <w:p>
      <w:r>
        <w:br w:type="page"/>
      </w:r>
    </w:p>
    <w:p>
      <w:pPr>
        <w:pStyle w:val="Heading1"/>
        <w:pBdr>
          <w:bottom w:val="single" w:color="2E75B6" w:sz="8" w:space="6"/>
        </w:pBdr>
        <w:spacing w:after="120" w:before="360"/>
      </w:pPr>
      <w:r>
        <w:t xml:space="preserve">11. Hoja de Ruta — Implementación por Fases</w:t>
      </w:r>
    </w:p>
    <w:p>
      <w:pPr>
        <w:spacing w:after="60" w:before="60"/>
      </w:pPr>
      <w:r>
        <w:t xml:space="preserve"/>
      </w:r>
    </w:p>
    <w:p>
      <w:pPr>
        <w:pStyle w:val="Heading2"/>
        <w:spacing w:after="80" w:before="240"/>
      </w:pPr>
      <w:r>
        <w:t xml:space="preserve">FASE 1 — Fundamentos (Meses 1–6)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D9E8F5" w:val="clear"/>
            <w:tcMar>
              <w:top w:type="dxa" w:w="100"/>
              <w:left w:type="dxa" w:w="120"/>
              <w:bottom w:type="dxa" w:w="100"/>
              <w:right w:type="dxa" w:w="100"/>
            </w:tcMar>
          </w:tcPr>
          <w:p>
            <w:pPr>
              <w:jc w:val="center"/>
            </w:pPr>
            <w:r>
              <w:rPr>
                <w:b/>
                <w:bCs/>
                <w:color w:val="2E75B6"/>
                <w:sz w:val="20"/>
                <w:szCs w:val="20"/>
              </w:rPr>
              <w:t xml:space="preserve">MVP</w:t>
            </w:r>
          </w:p>
        </w:tc>
        <w:tc>
          <w:tcPr>
            <w:tcW w:type="dxa" w:w="8360"/>
            <w:tcBorders>
              <w:top w:val="none" w:color="FFFFFF" w:sz="0"/>
              <w:left w:val="single" w:color="2E75B6" w:sz="12"/>
              <w:bottom w:val="none" w:color="FFFFFF" w:sz="0"/>
              <w:right w:val="none" w:color="FFFFFF" w:sz="0"/>
            </w:tcBorders>
            <w:shd w:fill="D9E8F5" w:val="clear"/>
            <w:tcMar>
              <w:top w:type="dxa" w:w="100"/>
              <w:left w:type="dxa" w:w="160"/>
              <w:bottom w:type="dxa" w:w="100"/>
              <w:right w:type="dxa" w:w="120"/>
            </w:tcMar>
          </w:tcPr>
          <w:p>
            <w:pPr>
              <w:jc w:val="both"/>
            </w:pPr>
            <w:r>
              <w:rPr>
                <w:color w:val="4A4A4A"/>
                <w:sz w:val="21"/>
                <w:szCs w:val="21"/>
              </w:rPr>
              <w:t xml:space="preserve">El objetivo de la Fase 1 es tener una plataforma funcional con autenticación robusta, perfiles de usuario, contenido básico y las bases de infraestructura sobre las que se construirá todo lo demás.</w:t>
            </w:r>
          </w:p>
        </w:tc>
      </w:tr>
    </w:tbl>
    <w:p>
      <w:pPr>
        <w:spacing w:after="60" w:before="60"/>
      </w:pPr>
      <w:r>
        <w:t xml:space="preserve"/>
      </w:r>
    </w:p>
    <w:p>
      <w:pPr>
        <w:pStyle w:val="ListParagraph"/>
        <w:numPr>
          <w:ilvl w:val="0"/>
          <w:numId w:val="2"/>
        </w:numPr>
        <w:spacing w:after="40" w:before="40"/>
      </w:pPr>
      <w:r>
        <w:rPr>
          <w:color w:val="4A4A4A"/>
          <w:sz w:val="22"/>
          <w:szCs w:val="22"/>
        </w:rPr>
        <w:t xml:space="preserve">Infraestructura base: Kubernetes cluster, CI/CD pipelines, observabilidad (Prometheus + Grafana + ELK).</w:t>
      </w:r>
    </w:p>
    <w:p>
      <w:pPr>
        <w:pStyle w:val="ListParagraph"/>
        <w:numPr>
          <w:ilvl w:val="0"/>
          <w:numId w:val="2"/>
        </w:numPr>
        <w:spacing w:after="40" w:before="40"/>
      </w:pPr>
      <w:r>
        <w:rPr>
          <w:color w:val="4A4A4A"/>
          <w:sz w:val="22"/>
          <w:szCs w:val="22"/>
        </w:rPr>
        <w:t xml:space="preserve">Identity Service + Keycloak: SSO con LDAP/AD sync, MFA, OIDC, RBAC básico.</w:t>
      </w:r>
    </w:p>
    <w:p>
      <w:pPr>
        <w:pStyle w:val="ListParagraph"/>
        <w:numPr>
          <w:ilvl w:val="0"/>
          <w:numId w:val="2"/>
        </w:numPr>
        <w:spacing w:after="40" w:before="40"/>
      </w:pPr>
      <w:r>
        <w:rPr>
          <w:color w:val="4A4A4A"/>
          <w:sz w:val="22"/>
          <w:szCs w:val="22"/>
        </w:rPr>
        <w:t xml:space="preserve">User Profile Service: perfiles, directorio interno, búsqueda de personas.</w:t>
      </w:r>
    </w:p>
    <w:p>
      <w:pPr>
        <w:pStyle w:val="ListParagraph"/>
        <w:numPr>
          <w:ilvl w:val="0"/>
          <w:numId w:val="2"/>
        </w:numPr>
        <w:spacing w:after="40" w:before="40"/>
      </w:pPr>
      <w:r>
        <w:rPr>
          <w:color w:val="4A4A4A"/>
          <w:sz w:val="22"/>
          <w:szCs w:val="22"/>
        </w:rPr>
        <w:t xml:space="preserve">Content Service: CMS headless, páginas estáticas, noticias y anuncios corporativos.</w:t>
      </w:r>
    </w:p>
    <w:p>
      <w:pPr>
        <w:pStyle w:val="ListParagraph"/>
        <w:numPr>
          <w:ilvl w:val="0"/>
          <w:numId w:val="2"/>
        </w:numPr>
        <w:spacing w:after="40" w:before="40"/>
      </w:pPr>
      <w:r>
        <w:rPr>
          <w:color w:val="4A4A4A"/>
          <w:sz w:val="22"/>
          <w:szCs w:val="22"/>
        </w:rPr>
        <w:t xml:space="preserve">Design System v1: componentes base, tokens de diseño, Storybook publicado.</w:t>
      </w:r>
    </w:p>
    <w:p>
      <w:pPr>
        <w:pStyle w:val="ListParagraph"/>
        <w:numPr>
          <w:ilvl w:val="0"/>
          <w:numId w:val="2"/>
        </w:numPr>
        <w:spacing w:after="40" w:before="40"/>
      </w:pPr>
      <w:r>
        <w:rPr>
          <w:color w:val="4A4A4A"/>
          <w:sz w:val="22"/>
          <w:szCs w:val="22"/>
        </w:rPr>
        <w:t xml:space="preserve">API Gateway (Kong): rate limiting, autenticación, logging centralizado.</w:t>
      </w:r>
    </w:p>
    <w:p>
      <w:pPr>
        <w:pStyle w:val="ListParagraph"/>
        <w:numPr>
          <w:ilvl w:val="0"/>
          <w:numId w:val="2"/>
        </w:numPr>
        <w:spacing w:after="40" w:before="40"/>
      </w:pPr>
      <w:r>
        <w:rPr>
          <w:color w:val="4A4A4A"/>
          <w:sz w:val="22"/>
          <w:szCs w:val="22"/>
        </w:rPr>
        <w:t xml:space="preserve">Audit Service básico: registro de autenticaciones y acciones críticas.</w:t>
      </w:r>
    </w:p>
    <w:p>
      <w:pPr>
        <w:pStyle w:val="ListParagraph"/>
        <w:numPr>
          <w:ilvl w:val="0"/>
          <w:numId w:val="2"/>
        </w:numPr>
        <w:spacing w:after="40" w:before="40"/>
      </w:pPr>
      <w:r>
        <w:rPr>
          <w:color w:val="4A4A4A"/>
          <w:sz w:val="22"/>
          <w:szCs w:val="22"/>
        </w:rPr>
        <w:t xml:space="preserve">Portal interno: dashboard personalizable con widgets configurables por rol.</w:t>
      </w:r>
    </w:p>
    <w:p>
      <w:pPr>
        <w:spacing w:after="60" w:before="60"/>
      </w:pPr>
      <w:r>
        <w:t xml:space="preserve"/>
      </w:r>
    </w:p>
    <w:p>
      <w:pPr>
        <w:pStyle w:val="Heading2"/>
        <w:spacing w:after="80" w:before="240"/>
      </w:pPr>
      <w:r>
        <w:t xml:space="preserve">FASE 2 — Integración y Colaboración (Meses 7–12)</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D4ECEE" w:val="clear"/>
            <w:tcMar>
              <w:top w:type="dxa" w:w="100"/>
              <w:left w:type="dxa" w:w="120"/>
              <w:bottom w:type="dxa" w:w="100"/>
              <w:right w:type="dxa" w:w="100"/>
            </w:tcMar>
          </w:tcPr>
          <w:p>
            <w:pPr>
              <w:jc w:val="center"/>
            </w:pPr>
            <w:r>
              <w:rPr>
                <w:b/>
                <w:bCs/>
                <w:color w:val="1D6A72"/>
                <w:sz w:val="20"/>
                <w:szCs w:val="20"/>
              </w:rPr>
              <w:t xml:space="preserve">INTEGRACIÓN</w:t>
            </w:r>
          </w:p>
        </w:tc>
        <w:tc>
          <w:tcPr>
            <w:tcW w:type="dxa" w:w="8360"/>
            <w:tcBorders>
              <w:top w:val="none" w:color="FFFFFF" w:sz="0"/>
              <w:left w:val="single" w:color="1D6A72" w:sz="12"/>
              <w:bottom w:val="none" w:color="FFFFFF" w:sz="0"/>
              <w:right w:val="none" w:color="FFFFFF" w:sz="0"/>
            </w:tcBorders>
            <w:shd w:fill="D4ECEE" w:val="clear"/>
            <w:tcMar>
              <w:top w:type="dxa" w:w="100"/>
              <w:left w:type="dxa" w:w="160"/>
              <w:bottom w:type="dxa" w:w="100"/>
              <w:right w:type="dxa" w:w="120"/>
            </w:tcMar>
          </w:tcPr>
          <w:p>
            <w:pPr>
              <w:jc w:val="both"/>
            </w:pPr>
            <w:r>
              <w:rPr>
                <w:color w:val="4A4A4A"/>
                <w:sz w:val="21"/>
                <w:szCs w:val="21"/>
              </w:rPr>
              <w:t xml:space="preserve">La Fase 2 conecta la intranet con los sistemas empresariales críticos e introduce capacidades de colaboración.</w:t>
            </w:r>
          </w:p>
        </w:tc>
      </w:tr>
    </w:tbl>
    <w:p>
      <w:pPr>
        <w:spacing w:after="60" w:before="60"/>
      </w:pPr>
      <w:r>
        <w:t xml:space="preserve"/>
      </w:r>
    </w:p>
    <w:p>
      <w:pPr>
        <w:pStyle w:val="ListParagraph"/>
        <w:numPr>
          <w:ilvl w:val="0"/>
          <w:numId w:val="2"/>
        </w:numPr>
        <w:spacing w:after="40" w:before="40"/>
      </w:pPr>
      <w:r>
        <w:rPr>
          <w:color w:val="4A4A4A"/>
          <w:sz w:val="22"/>
          <w:szCs w:val="22"/>
        </w:rPr>
        <w:t xml:space="preserve">Integration Hub: conectores para RRHH, directorio y plataformas de estadísticas empresariales.</w:t>
      </w:r>
    </w:p>
    <w:p>
      <w:pPr>
        <w:pStyle w:val="ListParagraph"/>
        <w:numPr>
          <w:ilvl w:val="0"/>
          <w:numId w:val="2"/>
        </w:numPr>
        <w:spacing w:after="40" w:before="40"/>
      </w:pPr>
      <w:r>
        <w:rPr>
          <w:color w:val="4A4A4A"/>
          <w:sz w:val="22"/>
          <w:szCs w:val="22"/>
        </w:rPr>
        <w:t xml:space="preserve">Authorization Service completo: ABAC con OPA, field-level security, políticas en Rego.</w:t>
      </w:r>
    </w:p>
    <w:p>
      <w:pPr>
        <w:pStyle w:val="ListParagraph"/>
        <w:numPr>
          <w:ilvl w:val="0"/>
          <w:numId w:val="2"/>
        </w:numPr>
        <w:spacing w:after="40" w:before="40"/>
      </w:pPr>
      <w:r>
        <w:rPr>
          <w:color w:val="4A4A4A"/>
          <w:sz w:val="22"/>
          <w:szCs w:val="22"/>
        </w:rPr>
        <w:t xml:space="preserve">Notification Service: notificaciones in-app, email y push; preferencias por usuario.</w:t>
      </w:r>
    </w:p>
    <w:p>
      <w:pPr>
        <w:pStyle w:val="ListParagraph"/>
        <w:numPr>
          <w:ilvl w:val="0"/>
          <w:numId w:val="2"/>
        </w:numPr>
        <w:spacing w:after="40" w:before="40"/>
      </w:pPr>
      <w:r>
        <w:rPr>
          <w:color w:val="4A4A4A"/>
          <w:sz w:val="22"/>
          <w:szCs w:val="22"/>
        </w:rPr>
        <w:t xml:space="preserve">Workflow Service: flujos de aprobación configurables (vacaciones, documentos, solicitudes).</w:t>
      </w:r>
    </w:p>
    <w:p>
      <w:pPr>
        <w:pStyle w:val="ListParagraph"/>
        <w:numPr>
          <w:ilvl w:val="0"/>
          <w:numId w:val="2"/>
        </w:numPr>
        <w:spacing w:after="40" w:before="40"/>
      </w:pPr>
      <w:r>
        <w:rPr>
          <w:color w:val="4A4A4A"/>
          <w:sz w:val="22"/>
          <w:szCs w:val="22"/>
        </w:rPr>
        <w:t xml:space="preserve">Analytics Service: dashboards internos de uso de la plataforma, integración con BI externo.</w:t>
      </w:r>
    </w:p>
    <w:p>
      <w:pPr>
        <w:pStyle w:val="ListParagraph"/>
        <w:numPr>
          <w:ilvl w:val="0"/>
          <w:numId w:val="2"/>
        </w:numPr>
        <w:spacing w:after="40" w:before="40"/>
      </w:pPr>
      <w:r>
        <w:rPr>
          <w:color w:val="4A4A4A"/>
          <w:sz w:val="22"/>
          <w:szCs w:val="22"/>
        </w:rPr>
        <w:t xml:space="preserve">Integración con plataformas de grupos de trabajo (Teams / Slack) mediante OAuth 2.0.</w:t>
      </w:r>
    </w:p>
    <w:p>
      <w:pPr>
        <w:pStyle w:val="ListParagraph"/>
        <w:numPr>
          <w:ilvl w:val="0"/>
          <w:numId w:val="2"/>
        </w:numPr>
        <w:spacing w:after="40" w:before="40"/>
      </w:pPr>
      <w:r>
        <w:rPr>
          <w:color w:val="4A4A4A"/>
          <w:sz w:val="22"/>
          <w:szCs w:val="22"/>
        </w:rPr>
        <w:t xml:space="preserve">Document Service básico: repositorio de documentos con versionado y búsqueda.</w:t>
      </w:r>
    </w:p>
    <w:p>
      <w:pPr>
        <w:spacing w:after="60" w:before="60"/>
      </w:pPr>
      <w:r>
        <w:t xml:space="preserve"/>
      </w:r>
    </w:p>
    <w:p>
      <w:pPr>
        <w:pStyle w:val="Heading2"/>
        <w:spacing w:after="80" w:before="240"/>
      </w:pPr>
      <w:r>
        <w:t xml:space="preserve">FASE 3 — Funcionalidades Avanzadas (Meses 13–18)</w:t>
      </w:r>
    </w:p>
    <w:p>
      <w:pPr>
        <w:pStyle w:val="ListParagraph"/>
        <w:numPr>
          <w:ilvl w:val="0"/>
          <w:numId w:val="2"/>
        </w:numPr>
        <w:spacing w:after="40" w:before="40"/>
      </w:pPr>
      <w:r>
        <w:rPr>
          <w:color w:val="4A4A4A"/>
          <w:sz w:val="22"/>
          <w:szCs w:val="22"/>
        </w:rPr>
        <w:t xml:space="preserve">Org Chart Service: organigramas dinámicos sincronizados con RRHH, visualización interactiva.</w:t>
      </w:r>
    </w:p>
    <w:p>
      <w:pPr>
        <w:pStyle w:val="ListParagraph"/>
        <w:numPr>
          <w:ilvl w:val="0"/>
          <w:numId w:val="2"/>
        </w:numPr>
        <w:spacing w:after="40" w:before="40"/>
      </w:pPr>
      <w:r>
        <w:rPr>
          <w:color w:val="4A4A4A"/>
          <w:sz w:val="22"/>
          <w:szCs w:val="22"/>
        </w:rPr>
        <w:t xml:space="preserve">Document Service avanzado: integración con DMS externo (CMIS), clasificación automática, preview in-browser.</w:t>
      </w:r>
    </w:p>
    <w:p>
      <w:pPr>
        <w:pStyle w:val="ListParagraph"/>
        <w:numPr>
          <w:ilvl w:val="0"/>
          <w:numId w:val="2"/>
        </w:numPr>
        <w:spacing w:after="40" w:before="40"/>
      </w:pPr>
      <w:r>
        <w:rPr>
          <w:color w:val="4A4A4A"/>
          <w:sz w:val="22"/>
          <w:szCs w:val="22"/>
        </w:rPr>
        <w:t xml:space="preserve">Search Service federado: búsqueda en todos los dominios con ranking por relevancia y permisos.</w:t>
      </w:r>
    </w:p>
    <w:p>
      <w:pPr>
        <w:pStyle w:val="ListParagraph"/>
        <w:numPr>
          <w:ilvl w:val="0"/>
          <w:numId w:val="2"/>
        </w:numPr>
        <w:spacing w:after="40" w:before="40"/>
      </w:pPr>
      <w:r>
        <w:rPr>
          <w:color w:val="4A4A4A"/>
          <w:sz w:val="22"/>
          <w:szCs w:val="22"/>
        </w:rPr>
        <w:t xml:space="preserve">ABAC avanzado: políticas contextuales basadas en ubicación, dispositivo y tiempo.</w:t>
      </w:r>
    </w:p>
    <w:p>
      <w:pPr>
        <w:pStyle w:val="ListParagraph"/>
        <w:numPr>
          <w:ilvl w:val="0"/>
          <w:numId w:val="2"/>
        </w:numPr>
        <w:spacing w:after="40" w:before="40"/>
      </w:pPr>
      <w:r>
        <w:rPr>
          <w:color w:val="4A4A4A"/>
          <w:sz w:val="22"/>
          <w:szCs w:val="22"/>
        </w:rPr>
        <w:t xml:space="preserve">Microfrontends: migración progresiva a Module Federation para autonomía de equipos por dominio.</w:t>
      </w:r>
    </w:p>
    <w:p>
      <w:pPr>
        <w:pStyle w:val="ListParagraph"/>
        <w:numPr>
          <w:ilvl w:val="0"/>
          <w:numId w:val="2"/>
        </w:numPr>
        <w:spacing w:after="40" w:before="40"/>
      </w:pPr>
      <w:r>
        <w:rPr>
          <w:color w:val="4A4A4A"/>
          <w:sz w:val="22"/>
          <w:szCs w:val="22"/>
        </w:rPr>
        <w:t xml:space="preserve">Audit avanzado: UEBA básico, alertas de comportamiento anómalo, reportes de cumplimiento automatizados.</w:t>
      </w:r>
    </w:p>
    <w:p>
      <w:pPr>
        <w:spacing w:after="60" w:before="60"/>
      </w:pPr>
      <w:r>
        <w:t xml:space="preserve"/>
      </w:r>
    </w:p>
    <w:p>
      <w:pPr>
        <w:pStyle w:val="Heading2"/>
        <w:spacing w:after="80" w:before="240"/>
      </w:pPr>
      <w:r>
        <w:t xml:space="preserve">FASE 4 — Optimización y Expansión (Meses 19+)</w:t>
      </w:r>
    </w:p>
    <w:p>
      <w:pPr>
        <w:pStyle w:val="ListParagraph"/>
        <w:numPr>
          <w:ilvl w:val="0"/>
          <w:numId w:val="2"/>
        </w:numPr>
        <w:spacing w:after="40" w:before="40"/>
      </w:pPr>
      <w:r>
        <w:rPr>
          <w:color w:val="4A4A4A"/>
          <w:sz w:val="22"/>
          <w:szCs w:val="22"/>
        </w:rPr>
        <w:t xml:space="preserve">Integración con sistemas de ticketing / ITSM.</w:t>
      </w:r>
    </w:p>
    <w:p>
      <w:pPr>
        <w:pStyle w:val="ListParagraph"/>
        <w:numPr>
          <w:ilvl w:val="0"/>
          <w:numId w:val="2"/>
        </w:numPr>
        <w:spacing w:after="40" w:before="40"/>
      </w:pPr>
      <w:r>
        <w:rPr>
          <w:color w:val="4A4A4A"/>
          <w:sz w:val="22"/>
          <w:szCs w:val="22"/>
        </w:rPr>
        <w:t xml:space="preserve">AI features: búsqueda semántica, resumen automático de documentos, asistente conversacional interno.</w:t>
      </w:r>
    </w:p>
    <w:p>
      <w:pPr>
        <w:pStyle w:val="ListParagraph"/>
        <w:numPr>
          <w:ilvl w:val="0"/>
          <w:numId w:val="2"/>
        </w:numPr>
        <w:spacing w:after="40" w:before="40"/>
      </w:pPr>
      <w:r>
        <w:rPr>
          <w:color w:val="4A4A4A"/>
          <w:sz w:val="22"/>
          <w:szCs w:val="22"/>
        </w:rPr>
        <w:t xml:space="preserve">Multi-tenancy: soporte para subsidiarias o unidades de negocio con aislamiento de datos.</w:t>
      </w:r>
    </w:p>
    <w:p>
      <w:pPr>
        <w:pStyle w:val="ListParagraph"/>
        <w:numPr>
          <w:ilvl w:val="0"/>
          <w:numId w:val="2"/>
        </w:numPr>
        <w:spacing w:after="40" w:before="40"/>
      </w:pPr>
      <w:r>
        <w:rPr>
          <w:color w:val="4A4A4A"/>
          <w:sz w:val="22"/>
          <w:szCs w:val="22"/>
        </w:rPr>
        <w:t xml:space="preserve">SDK público: biblioteca de componentes para que equipos internos construyan extensiones.</w:t>
      </w:r>
    </w:p>
    <w:p>
      <w:r>
        <w:br w:type="page"/>
      </w:r>
    </w:p>
    <w:p>
      <w:pPr>
        <w:pStyle w:val="Heading1"/>
        <w:pBdr>
          <w:bottom w:val="single" w:color="2E75B6" w:sz="8" w:space="6"/>
        </w:pBdr>
        <w:spacing w:after="120" w:before="360"/>
      </w:pPr>
      <w:r>
        <w:t xml:space="preserve">12. Mantenibilidad y Evolución del Sistema</w:t>
      </w:r>
    </w:p>
    <w:p>
      <w:pPr>
        <w:pStyle w:val="Heading2"/>
        <w:spacing w:after="80" w:before="240"/>
      </w:pPr>
      <w:r>
        <w:t xml:space="preserve">12.1 Arquitectura para el cambio</w:t>
      </w:r>
    </w:p>
    <w:p>
      <w:pPr>
        <w:spacing w:after="60" w:before="60"/>
        <w:jc w:val="both"/>
      </w:pPr>
      <w:r>
        <w:rPr>
          <w:color w:val="4A4A4A"/>
          <w:sz w:val="22"/>
          <w:szCs w:val="22"/>
        </w:rPr>
        <w:t xml:space="preserve">La arquitectura de microservicios con contratos API versionados permite reemplazar cualquier servicio por una implementación superior sin afectar el resto del sistema. El bajo acoplamiento entre servicios es el principal habilitador de mantenibilidad a largo plazo.</w:t>
      </w:r>
    </w:p>
    <w:p>
      <w:pPr>
        <w:spacing w:after="60" w:before="60"/>
      </w:pPr>
      <w:r>
        <w:t xml:space="preserve"/>
      </w:r>
    </w:p>
    <w:p>
      <w:pPr>
        <w:pStyle w:val="Heading2"/>
        <w:spacing w:after="80" w:before="240"/>
      </w:pPr>
      <w:r>
        <w:t xml:space="preserve">12.2 Prácticas de código sostenible</w:t>
      </w:r>
    </w:p>
    <w:p>
      <w:pPr>
        <w:pStyle w:val="ListParagraph"/>
        <w:numPr>
          <w:ilvl w:val="0"/>
          <w:numId w:val="2"/>
        </w:numPr>
        <w:spacing w:after="40" w:before="40"/>
      </w:pPr>
      <w:r>
        <w:rPr>
          <w:color w:val="4A4A4A"/>
          <w:sz w:val="22"/>
          <w:szCs w:val="22"/>
        </w:rPr>
        <w:t xml:space="preserve">Conventional Commits: historial de git semántico que alimenta el changelog automático y el versionado semántico.</w:t>
      </w:r>
    </w:p>
    <w:p>
      <w:pPr>
        <w:pStyle w:val="ListParagraph"/>
        <w:numPr>
          <w:ilvl w:val="0"/>
          <w:numId w:val="2"/>
        </w:numPr>
        <w:spacing w:after="40" w:before="40"/>
      </w:pPr>
      <w:r>
        <w:rPr>
          <w:color w:val="4A4A4A"/>
          <w:sz w:val="22"/>
          <w:szCs w:val="22"/>
        </w:rPr>
        <w:t xml:space="preserve">Architecture Decision Records (ADRs): cada decisión arquitectónica significativa se documenta con contexto, alternativas consideradas y consecuencias.</w:t>
      </w:r>
    </w:p>
    <w:p>
      <w:pPr>
        <w:pStyle w:val="ListParagraph"/>
        <w:numPr>
          <w:ilvl w:val="0"/>
          <w:numId w:val="2"/>
        </w:numPr>
        <w:spacing w:after="40" w:before="40"/>
      </w:pPr>
      <w:r>
        <w:rPr>
          <w:color w:val="4A4A4A"/>
          <w:sz w:val="22"/>
          <w:szCs w:val="22"/>
        </w:rPr>
        <w:t xml:space="preserve">Living Documentation: la documentación de API se genera desde el código y siempre está sincronizada.</w:t>
      </w:r>
    </w:p>
    <w:p>
      <w:pPr>
        <w:pStyle w:val="ListParagraph"/>
        <w:numPr>
          <w:ilvl w:val="0"/>
          <w:numId w:val="2"/>
        </w:numPr>
        <w:spacing w:after="40" w:before="40"/>
      </w:pPr>
      <w:r>
        <w:rPr>
          <w:color w:val="4A4A4A"/>
          <w:sz w:val="22"/>
          <w:szCs w:val="22"/>
        </w:rPr>
        <w:t xml:space="preserve">Dependency management automatizado: Dependabot actualiza dependencias semanalmente con PRs automáticos, previniendo drift tecnológico.</w:t>
      </w:r>
    </w:p>
    <w:p>
      <w:pPr>
        <w:pStyle w:val="ListParagraph"/>
        <w:numPr>
          <w:ilvl w:val="0"/>
          <w:numId w:val="2"/>
        </w:numPr>
        <w:spacing w:after="40" w:before="40"/>
      </w:pPr>
      <w:r>
        <w:rPr>
          <w:color w:val="4A4A4A"/>
          <w:sz w:val="22"/>
          <w:szCs w:val="22"/>
        </w:rPr>
        <w:t xml:space="preserve">Tech Debt tracking: deuda técnica registrada como issues con etiqueta específica y revisada en cada PI Planning.</w:t>
      </w:r>
    </w:p>
    <w:p>
      <w:pPr>
        <w:spacing w:after="60" w:before="60"/>
      </w:pPr>
      <w:r>
        <w:t xml:space="preserve"/>
      </w:r>
    </w:p>
    <w:p>
      <w:pPr>
        <w:pStyle w:val="Heading2"/>
        <w:spacing w:after="80" w:before="240"/>
      </w:pPr>
      <w:r>
        <w:t xml:space="preserve">12.3 Observabilidad como herramienta de mantenimiento</w:t>
      </w:r>
    </w:p>
    <w:p>
      <w:pPr>
        <w:spacing w:after="60" w:before="60"/>
        <w:jc w:val="both"/>
      </w:pPr>
      <w:r>
        <w:rPr>
          <w:color w:val="4A4A4A"/>
          <w:sz w:val="22"/>
          <w:szCs w:val="22"/>
        </w:rPr>
        <w:t xml:space="preserve">Un sistema bien observado es un sistema mantenible. Los dashboards de Grafana para cada servicio incluyen métricas de los Four Golden Signals (latency, traffic, errors, saturation), facilitando la identificación rápida de degradaciones antes de que impacten a los usuarios.</w:t>
      </w:r>
    </w:p>
    <w:p>
      <w:pPr>
        <w:spacing w:after="60" w:before="60"/>
      </w:pPr>
      <w:r>
        <w:t xml:space="preserve"/>
      </w:r>
    </w:p>
    <w:p>
      <w:pPr>
        <w:pStyle w:val="Heading2"/>
        <w:spacing w:after="80" w:before="240"/>
      </w:pPr>
      <w:r>
        <w:t xml:space="preserve">12.4 Runway tecnológico</w:t>
      </w:r>
    </w:p>
    <w:p>
      <w:pPr>
        <w:spacing w:after="60" w:before="60"/>
        <w:jc w:val="both"/>
      </w:pPr>
      <w:r>
        <w:rPr>
          <w:color w:val="4A4A4A"/>
          <w:sz w:val="22"/>
          <w:szCs w:val="22"/>
        </w:rPr>
        <w:t xml:space="preserve">La pila tecnológica seleccionada prioriza tecnologías con soporte a largo plazo, comunidades activas y roadmaps claros. Se establece un Technology Radar interno (basado en el modelo de ThoughtWorks) que se actualiza semestralmente para evaluar adopción, experimentación o retirada de tecnologías.</w:t>
      </w:r>
    </w:p>
    <w:p>
      <w:r>
        <w:br w:type="page"/>
      </w:r>
    </w:p>
    <w:p>
      <w:pPr>
        <w:pStyle w:val="Heading1"/>
        <w:pBdr>
          <w:bottom w:val="single" w:color="2E75B6" w:sz="8" w:space="6"/>
        </w:pBdr>
        <w:spacing w:after="120" w:before="360"/>
      </w:pPr>
      <w:r>
        <w:t xml:space="preserve">13. Consideraciones Finales y Próximos Pasos</w:t>
      </w:r>
    </w:p>
    <w:p>
      <w:pPr>
        <w:pStyle w:val="Heading2"/>
        <w:spacing w:after="80" w:before="240"/>
      </w:pPr>
      <w:r>
        <w:t xml:space="preserve">13.1 Factores críticos de éxito</w:t>
      </w:r>
    </w:p>
    <w:p>
      <w:pPr>
        <w:pStyle w:val="ListParagraph"/>
        <w:numPr>
          <w:ilvl w:val="0"/>
          <w:numId w:val="3"/>
        </w:numPr>
        <w:spacing w:after="40" w:before="40"/>
      </w:pPr>
      <w:r>
        <w:rPr>
          <w:color w:val="4A4A4A"/>
          <w:sz w:val="22"/>
          <w:szCs w:val="22"/>
        </w:rPr>
        <w:t xml:space="preserve">Patrocinio ejecutivo activo: la intranet es una plataforma transversal; requiere mandato claro desde liderazgo para la adopción y para obtener datos de sistemas externos.</w:t>
      </w:r>
    </w:p>
    <w:p>
      <w:pPr>
        <w:pStyle w:val="ListParagraph"/>
        <w:numPr>
          <w:ilvl w:val="0"/>
          <w:numId w:val="3"/>
        </w:numPr>
        <w:spacing w:after="40" w:before="40"/>
      </w:pPr>
      <w:r>
        <w:rPr>
          <w:color w:val="4A4A4A"/>
          <w:sz w:val="22"/>
          <w:szCs w:val="22"/>
        </w:rPr>
        <w:t xml:space="preserve">Equipo de plataforma dedicado: un Platform Team responsable de la infraestructura, el Design System y las herramientas de desarrollo compartidas es condición necesaria para la escalabilidad del modelo.</w:t>
      </w:r>
    </w:p>
    <w:p>
      <w:pPr>
        <w:pStyle w:val="ListParagraph"/>
        <w:numPr>
          <w:ilvl w:val="0"/>
          <w:numId w:val="3"/>
        </w:numPr>
        <w:spacing w:after="40" w:before="40"/>
      </w:pPr>
      <w:r>
        <w:rPr>
          <w:color w:val="4A4A4A"/>
          <w:sz w:val="22"/>
          <w:szCs w:val="22"/>
        </w:rPr>
        <w:t xml:space="preserve">Cultura API-first: los equipos dueños de sistemas externos deben comprometerse a exponer sus datos via API; esto requiere alineamiento organizacional, no solo técnico.</w:t>
      </w:r>
    </w:p>
    <w:p>
      <w:pPr>
        <w:pStyle w:val="ListParagraph"/>
        <w:numPr>
          <w:ilvl w:val="0"/>
          <w:numId w:val="3"/>
        </w:numPr>
        <w:spacing w:after="40" w:before="40"/>
      </w:pPr>
      <w:r>
        <w:rPr>
          <w:color w:val="4A4A4A"/>
          <w:sz w:val="22"/>
          <w:szCs w:val="22"/>
        </w:rPr>
        <w:t xml:space="preserve">Gestión del cambio: el éxito de la intranet depende tanto de la calidad técnica como de la adopción por parte de los usuarios. Se recomienda un programa de change management con embajadores por área.</w:t>
      </w:r>
    </w:p>
    <w:p>
      <w:pPr>
        <w:pStyle w:val="ListParagraph"/>
        <w:numPr>
          <w:ilvl w:val="0"/>
          <w:numId w:val="3"/>
        </w:numPr>
        <w:spacing w:after="40" w:before="40"/>
      </w:pPr>
      <w:r>
        <w:rPr>
          <w:color w:val="4A4A4A"/>
          <w:sz w:val="22"/>
          <w:szCs w:val="22"/>
        </w:rPr>
        <w:t xml:space="preserve">Seguridad como habilitador, no como bloqueador: involucrar al equipo de seguridad desde el inicio del diseño (Shift Left Security) evita retrabajos costosos y silos de decisión.</w:t>
      </w:r>
    </w:p>
    <w:p>
      <w:pPr>
        <w:spacing w:after="60" w:before="60"/>
      </w:pPr>
      <w:r>
        <w:t xml:space="preserve"/>
      </w:r>
    </w:p>
    <w:p>
      <w:pPr>
        <w:pStyle w:val="Heading2"/>
        <w:spacing w:after="80" w:before="240"/>
      </w:pPr>
      <w:r>
        <w:t xml:space="preserve">13.2 Próximos pasos inmediatos</w:t>
      </w:r>
    </w:p>
    <w:p>
      <w:pPr>
        <w:pStyle w:val="ListParagraph"/>
        <w:numPr>
          <w:ilvl w:val="0"/>
          <w:numId w:val="3"/>
        </w:numPr>
        <w:spacing w:after="40" w:before="40"/>
      </w:pPr>
      <w:r>
        <w:rPr>
          <w:color w:val="4A4A4A"/>
          <w:sz w:val="22"/>
          <w:szCs w:val="22"/>
        </w:rPr>
        <w:t xml:space="preserve">Conformar el equipo de arquitectura y los Product Owners de dominio.</w:t>
      </w:r>
    </w:p>
    <w:p>
      <w:pPr>
        <w:pStyle w:val="ListParagraph"/>
        <w:numPr>
          <w:ilvl w:val="0"/>
          <w:numId w:val="3"/>
        </w:numPr>
        <w:spacing w:after="40" w:before="40"/>
      </w:pPr>
      <w:r>
        <w:rPr>
          <w:color w:val="4A4A4A"/>
          <w:sz w:val="22"/>
          <w:szCs w:val="22"/>
        </w:rPr>
        <w:t xml:space="preserve">Realizar sesiones de Event Storming con stakeholders para refinar los bounded contexts.</w:t>
      </w:r>
    </w:p>
    <w:p>
      <w:pPr>
        <w:pStyle w:val="ListParagraph"/>
        <w:numPr>
          <w:ilvl w:val="0"/>
          <w:numId w:val="3"/>
        </w:numPr>
        <w:spacing w:after="40" w:before="40"/>
      </w:pPr>
      <w:r>
        <w:rPr>
          <w:color w:val="4A4A4A"/>
          <w:sz w:val="22"/>
          <w:szCs w:val="22"/>
        </w:rPr>
        <w:t xml:space="preserve">Provisionar el entorno de desarrollo (Kubernetes local con Minikube/Kind, pipelines de CI/CD base).</w:t>
      </w:r>
    </w:p>
    <w:p>
      <w:pPr>
        <w:pStyle w:val="ListParagraph"/>
        <w:numPr>
          <w:ilvl w:val="0"/>
          <w:numId w:val="3"/>
        </w:numPr>
        <w:spacing w:after="40" w:before="40"/>
      </w:pPr>
      <w:r>
        <w:rPr>
          <w:color w:val="4A4A4A"/>
          <w:sz w:val="22"/>
          <w:szCs w:val="22"/>
        </w:rPr>
        <w:t xml:space="preserve">Iniciar el Discovery de UX: talleres con usuarios finales para validar prioridades del MVP.</w:t>
      </w:r>
    </w:p>
    <w:p>
      <w:pPr>
        <w:pStyle w:val="ListParagraph"/>
        <w:numPr>
          <w:ilvl w:val="0"/>
          <w:numId w:val="3"/>
        </w:numPr>
        <w:spacing w:after="40" w:before="40"/>
      </w:pPr>
      <w:r>
        <w:rPr>
          <w:color w:val="4A4A4A"/>
          <w:sz w:val="22"/>
          <w:szCs w:val="22"/>
        </w:rPr>
        <w:t xml:space="preserve">Establecer los acuerdos de integración con los equipos propietarios de los sistemas externos (RRHH, AD, BI).</w:t>
      </w:r>
    </w:p>
    <w:p>
      <w:pPr>
        <w:pStyle w:val="ListParagraph"/>
        <w:numPr>
          <w:ilvl w:val="0"/>
          <w:numId w:val="3"/>
        </w:numPr>
        <w:spacing w:after="40" w:before="40"/>
      </w:pPr>
      <w:r>
        <w:rPr>
          <w:color w:val="4A4A4A"/>
          <w:sz w:val="22"/>
          <w:szCs w:val="22"/>
        </w:rPr>
        <w:t xml:space="preserve">Definir e implementar el Identity Service y Keycloak como primer entregable de la Fase 1.</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D9E8F5" w:val="clear"/>
            <w:tcMar>
              <w:top w:type="dxa" w:w="100"/>
              <w:left w:type="dxa" w:w="120"/>
              <w:bottom w:type="dxa" w:w="100"/>
              <w:right w:type="dxa" w:w="100"/>
            </w:tcMar>
          </w:tcPr>
          <w:p>
            <w:pPr>
              <w:jc w:val="center"/>
            </w:pPr>
            <w:r>
              <w:rPr>
                <w:b/>
                <w:bCs/>
                <w:color w:val="2E75B6"/>
                <w:sz w:val="20"/>
                <w:szCs w:val="20"/>
              </w:rPr>
              <w:t xml:space="preserve">RECOMENDACIÓN</w:t>
            </w:r>
          </w:p>
        </w:tc>
        <w:tc>
          <w:tcPr>
            <w:tcW w:type="dxa" w:w="8360"/>
            <w:tcBorders>
              <w:top w:val="none" w:color="FFFFFF" w:sz="0"/>
              <w:left w:val="single" w:color="2E75B6" w:sz="12"/>
              <w:bottom w:val="none" w:color="FFFFFF" w:sz="0"/>
              <w:right w:val="none" w:color="FFFFFF" w:sz="0"/>
            </w:tcBorders>
            <w:shd w:fill="D9E8F5" w:val="clear"/>
            <w:tcMar>
              <w:top w:type="dxa" w:w="100"/>
              <w:left w:type="dxa" w:w="160"/>
              <w:bottom w:type="dxa" w:w="100"/>
              <w:right w:type="dxa" w:w="120"/>
            </w:tcMar>
          </w:tcPr>
          <w:p>
            <w:pPr>
              <w:jc w:val="both"/>
            </w:pPr>
            <w:r>
              <w:rPr>
                <w:color w:val="4A4A4A"/>
                <w:sz w:val="21"/>
                <w:szCs w:val="21"/>
              </w:rPr>
              <w:t xml:space="preserve">Iniciar con un equipo pequeño y enfocado (5-7 personas para la Fase 1) antes de escalar. La arquitectura está diseñada para crecer, pero la disciplina de ingeniería se establece en los primeros sprints. La calidad de los cimientos determinará la velocidad de todo lo que viene después.</w:t>
            </w:r>
          </w:p>
        </w:tc>
      </w:tr>
    </w:tbl>
    <w:p>
      <w:r>
        <w:br w:type="page"/>
      </w:r>
    </w:p>
    <w:p>
      <w:pPr>
        <w:pStyle w:val="Heading1"/>
        <w:pBdr>
          <w:bottom w:val="single" w:color="2E75B6" w:sz="8" w:space="6"/>
        </w:pBdr>
        <w:spacing w:after="120" w:before="360"/>
      </w:pPr>
      <w:r>
        <w:t xml:space="preserve">Glosario de Términos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ABAC</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Attribute-Based Access Control — control de acceso basado en atributos del sujeto, recurso y entorno</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ADR</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Architecture Decision Record — documento que registra una decisión arquitectónica significativa</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BFF</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Backend for Frontend — patrón donde cada cliente tiene su propio backend adaptado</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CQRS</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Command Query Responsibility Segregation — separación de modelos de escritura y lectura</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DDD</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Domain-Driven Design — enfoque de diseño centrado en el dominio de negocio</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DMS</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Document Management System — sistema de gestión documental</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GitOps</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Práctica de usar Git como única fuente de verdad para la configuración de infraestructura</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gRPC</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Framework RPC de alto rendimiento sobre HTTP/2, desarrollado por Google</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HRIS</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Human Resources Information System — sistema de información de recursos humanos</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IdP</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Identity Provider — proveedor de identidad que gestiona la autenticación</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ILM</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Index Lifecycle Management — gestión del ciclo de vida de índices en Elasticsearch</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mTLS</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mutual TLS — autenticación mutua de cliente y servidor mediante certificados</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OIDC</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OpenID Connect — protocolo de identidad sobre OAuth 2.0</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OPA</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Open Policy Agent — motor de políticas de autorización basado en Rego</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PWA</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Progressive Web App — aplicación web con capacidades nativas (offline, push, instalación)</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RBAC</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Role-Based Access Control — control de acceso basado en roles</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SAML 2.0</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Security Assertion Markup Language — estándar de federación de identidades XML</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SCIM 2.0</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System for Cross-domain Identity Management — estándar de aprovisionamiento de identidades</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SLO</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Service Level Objective — objetivo cuantificable de nivel de servicio</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SSO</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Single Sign-On — autenticación única para múltiples sistemas</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UEBA</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User and Entity Behavior Analytics — análisis de comportamiento de usuarios y entidades</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WAF</w:t>
            </w:r>
          </w:p>
        </w:tc>
        <w:tc>
          <w:tcPr>
            <w:tcW w:type="dxa" w:w="6560"/>
            <w:tcBorders>
              <w:top w:val="single" w:color="2E75B6" w:sz="3"/>
              <w:left w:val="single" w:color="2E75B6" w:sz="3"/>
              <w:bottom w:val="single" w:color="2E75B6" w:sz="3"/>
              <w:right w:val="single" w:color="2E75B6" w:sz="3"/>
            </w:tcBorders>
            <w:shd w:fill="F2F4F7" w:val="clear"/>
            <w:tcMar>
              <w:top w:type="dxa" w:w="80"/>
              <w:left w:type="dxa" w:w="120"/>
              <w:bottom w:type="dxa" w:w="80"/>
              <w:right w:type="dxa" w:w="120"/>
            </w:tcMar>
          </w:tcPr>
          <w:p>
            <w:r>
              <w:rPr>
                <w:color w:val="4A4A4A"/>
                <w:sz w:val="21"/>
                <w:szCs w:val="21"/>
              </w:rPr>
              <w:t xml:space="preserve">Web Application Firewall — cortafuegos de aplicaciones web</w:t>
            </w:r>
          </w:p>
        </w:tc>
      </w:tr>
      <w:tr>
        <w:tc>
          <w:tcPr>
            <w:tcW w:type="dxa" w:w="2800"/>
            <w:tcBorders>
              <w:top w:val="single" w:color="2E75B6" w:sz="3"/>
              <w:left w:val="single" w:color="2E75B6" w:sz="3"/>
              <w:bottom w:val="single" w:color="2E75B6" w:sz="3"/>
              <w:right w:val="single" w:color="2E75B6" w:sz="3"/>
            </w:tcBorders>
            <w:shd w:fill="D9E8F5" w:val="clear"/>
            <w:tcMar>
              <w:top w:type="dxa" w:w="80"/>
              <w:left w:type="dxa" w:w="120"/>
              <w:bottom w:type="dxa" w:w="80"/>
              <w:right w:type="dxa" w:w="120"/>
            </w:tcMar>
          </w:tcPr>
          <w:p>
            <w:r>
              <w:rPr>
                <w:b/>
                <w:bCs/>
                <w:color w:val="1B3A5C"/>
                <w:sz w:val="21"/>
                <w:szCs w:val="21"/>
              </w:rPr>
              <w:t xml:space="preserve">Zero Trust</w:t>
            </w:r>
          </w:p>
        </w:tc>
        <w:tc>
          <w:tcPr>
            <w:tcW w:type="dxa" w:w="6560"/>
            <w:tcBorders>
              <w:top w:val="single" w:color="2E75B6" w:sz="3"/>
              <w:left w:val="single" w:color="2E75B6" w:sz="3"/>
              <w:bottom w:val="single" w:color="2E75B6" w:sz="3"/>
              <w:right w:val="single" w:color="2E75B6" w:sz="3"/>
            </w:tcBorders>
            <w:shd w:fill="FFFFFF" w:val="clear"/>
            <w:tcMar>
              <w:top w:type="dxa" w:w="80"/>
              <w:left w:type="dxa" w:w="120"/>
              <w:bottom w:type="dxa" w:w="80"/>
              <w:right w:type="dxa" w:w="120"/>
            </w:tcMar>
          </w:tcPr>
          <w:p>
            <w:r>
              <w:rPr>
                <w:color w:val="4A4A4A"/>
                <w:sz w:val="21"/>
                <w:szCs w:val="21"/>
              </w:rPr>
              <w:t xml:space="preserve">Modelo de seguridad donde ninguna solicitud se considera confiable por defecto</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color w:val="4A4A4A"/>
        <w:sz w:val="16"/>
        <w:szCs w:val="16"/>
      </w:rPr>
      <w:t xml:space="preserve">Confidencial — Uso Interno</w:t>
    </w:r>
    <w:r>
      <w:rPr>
        <w:sz w:val="16"/>
        <w:szCs w:val="16"/>
      </w:rPr>
      <w:t xml:space="preserve">	</w:t>
    </w:r>
    <w:r>
      <w:rPr>
        <w:color w:val="4A4A4A"/>
        <w:sz w:val="16"/>
        <w:szCs w:val="16"/>
      </w:rPr>
      <w:t xml:space="preserve">Página </w:t>
    </w:r>
    <w:r>
      <w:rPr>
        <w:color w:val="4A4A4A"/>
        <w:sz w:val="16"/>
        <w:szCs w:val="16"/>
      </w:rPr>
      <w:fldChar w:fldCharType="begin"/>
      <w:instrText xml:space="preserve">PAGE</w:instrText>
      <w:fldChar w:fldCharType="separate"/>
      <w:fldChar w:fldCharType="end"/>
    </w:r>
    <w:r>
      <w:rPr>
        <w:color w:val="4A4A4A"/>
        <w:sz w:val="16"/>
        <w:szCs w:val="16"/>
      </w:rPr>
      <w:t xml:space="preserve"> de </w:t>
    </w:r>
    <w:r>
      <w:rPr>
        <w:color w:val="4A4A4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b/>
        <w:bCs/>
        <w:color w:val="1B3A5C"/>
        <w:sz w:val="18"/>
        <w:szCs w:val="18"/>
      </w:rPr>
      <w:t xml:space="preserve">Plan de Arquitectura — Intranet Corporativa</w:t>
    </w:r>
    <w:r>
      <w:rPr>
        <w:sz w:val="18"/>
        <w:szCs w:val="18"/>
      </w:rPr>
      <w:t xml:space="preserve">	</w:t>
    </w:r>
    <w:r>
      <w:rPr>
        <w:color w:val="4A4A4A"/>
        <w:sz w:val="18"/>
        <w:szCs w:val="18"/>
      </w:rPr>
      <w:t xml:space="preserve">v1.0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D6A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2026-04-29T16:44:14.923Z</dcterms:created>
  <dcterms:modified xsi:type="dcterms:W3CDTF">2026-04-29T16:44:14.924Z</dcterms:modified>
</cp:coreProperties>
</file>

<file path=docProps/custom.xml><?xml version="1.0" encoding="utf-8"?>
<Properties xmlns="http://schemas.openxmlformats.org/officeDocument/2006/custom-properties" xmlns:vt="http://schemas.openxmlformats.org/officeDocument/2006/docPropsVTypes"/>
</file>