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1E3A"/>
            <w:tcMar>
              <w:top w:w="420" w:type="dxa"/>
              <w:left w:w="420" w:type="dxa"/>
              <w:bottom w:w="420" w:type="dxa"/>
              <w:right w:w="4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Poppins" w:hAnsi="Poppins" w:eastAsia="Poppins"/>
                <w:b/>
                <w:color w:val="FFD84D"/>
                <w:sz w:val="20"/>
              </w:rPr>
              <w:t>SPONSORING-ANGEBOT</w:t>
            </w:r>
          </w:p>
          <w:p>
            <w:pPr>
              <w:spacing w:after="120"/>
            </w:pPr>
            <w:r>
              <w:rPr>
                <w:rFonts w:ascii="Poppins" w:hAnsi="Poppins" w:eastAsia="Poppins"/>
                <w:b/>
                <w:color w:val="FFFFFF"/>
                <w:sz w:val="68"/>
              </w:rPr>
              <w:t>Mathebox</w:t>
            </w:r>
            <w:r>
              <w:rPr>
                <w:rFonts w:ascii="Poppins" w:hAnsi="Poppins" w:eastAsia="Poppins"/>
                <w:b/>
                <w:color w:val="FFD84D"/>
                <w:sz w:val="68"/>
              </w:rPr>
              <w:t xml:space="preserve">  Hauptsponsoring</w:t>
            </w:r>
          </w:p>
          <w:p>
            <w:pPr>
              <w:spacing w:after="0"/>
            </w:pPr>
            <w:r>
              <w:rPr>
                <w:b w:val="0"/>
                <w:color w:val="C9DAF2"/>
                <w:sz w:val="21"/>
              </w:rPr>
              <w:t>Kostenlose Übungssoftware für den Mathematik-Unterricht · 17. Oktober 2026 · Armin Heske</w:t>
            </w:r>
          </w:p>
        </w:tc>
      </w:tr>
    </w:tbl>
    <w:p>
      <w:pPr>
        <w:spacing w:after="40" w:before="0" w:line="300" w:lineRule="auto"/>
      </w:pPr>
    </w:p>
    <w:p>
      <w:pPr>
        <w:keepNext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Über die Mathebox</w:t>
      </w:r>
    </w:p>
    <w:p>
      <w:pPr>
        <w:spacing w:after="120" w:before="0" w:line="300" w:lineRule="auto"/>
      </w:pPr>
      <w:r>
        <w:rPr>
          <w:b w:val="0"/>
        </w:rPr>
        <w:t>Die Mathebox ist eine völlig kostenlose Sammlung von Übungssoftware für den Mathematik-Unterricht, die in Österreich seit Jahren im Schulalltag eingesetzt wird.</w:t>
      </w:r>
    </w:p>
    <w:p>
      <w:pPr>
        <w:spacing w:after="120" w:before="0" w:line="300" w:lineRule="auto"/>
      </w:pPr>
      <w:r>
        <w:rPr>
          <w:b w:val="0"/>
        </w:rPr>
        <w:t>Sie zielt auf Differenzierung und Individualität: Jede Schülerin und jeder Schüler übt in eigenem Tempo und auf eigenem Niveau. Lehrkräfte sparen sich Aufgabensuche und Korrektur.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Im Unterricht:</w:t>
      </w:r>
      <w:r>
        <w:rPr>
          <w:b w:val="0"/>
        </w:rPr>
        <w:t xml:space="preserve"> individuelles, differenziertes Üben direkt am Gerät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Hausübungen:</w:t>
      </w:r>
      <w:r>
        <w:rPr>
          <w:b w:val="0"/>
        </w:rPr>
        <w:t xml:space="preserve"> mit E-Mail-Bestätigung und Protokolldruck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Üben daheim:</w:t>
      </w:r>
      <w:r>
        <w:rPr>
          <w:b w:val="0"/>
        </w:rPr>
        <w:t xml:space="preserve"> Kopfrechnen, Einmaleins, Formeln jederzeit selbst trainieren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Übungsblätter:</w:t>
      </w:r>
      <w:r>
        <w:rPr>
          <w:b w:val="0"/>
        </w:rPr>
        <w:t xml:space="preserve"> mit stepbystep Blätter mit oder ohne Lösungen erstellen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3EEFB"/>
            <w:tcMar>
              <w:top w:w="140" w:type="dxa"/>
              <w:left w:w="240" w:type="dxa"/>
              <w:bottom w:w="140" w:type="dxa"/>
              <w:right w:w="240" w:type="dxa"/>
            </w:tcMar>
            <w:tcBorders>
              <w:top w:val="nil"/>
              <w:left w:val="single" w:sz="24" w:color="1F5FBF"/>
              <w:bottom w:val="nil"/>
              <w:right w:val="nil"/>
            </w:tcBorders>
          </w:tcPr>
          <w:p>
            <w:pPr>
              <w:spacing w:after="0" w:line="300" w:lineRule="auto"/>
            </w:pPr>
            <w:r>
              <w:rPr>
                <w:b w:val="0"/>
              </w:rPr>
            </w:r>
            <w:r>
              <w:rPr>
                <w:b/>
              </w:rPr>
              <w:t>Die Mathebox kommt ohne Registrierung, Benutzernamen und Passwörter aus.</w:t>
            </w:r>
            <w:r>
              <w:rPr>
                <w:b w:val="0"/>
              </w:rPr>
              <w:t xml:space="preserve"> Es werden keine persönlichen Daten gespeichert.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Reichweite in Zahlen</w:t>
      </w:r>
    </w:p>
    <w:p>
      <w:pPr>
        <w:spacing w:after="160" w:before="0" w:line="300" w:lineRule="auto"/>
      </w:pPr>
      <w:r>
        <w:rPr>
          <w:b w:val="0"/>
        </w:rPr>
        <w:t>Die Mathebox erreichte in den letzten 12 Monaten rund 108.000 Besuche und 1,56 Mio. Seitenaufrufe (Server-Statistik, Nov 2025 bis Okt 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0B1E3A"/>
          </w:tcPr>
          <w:p>
            <w:pPr>
              <w:spacing w:after="0"/>
            </w:pPr>
            <w:r>
              <w:rPr>
                <w:b/>
                <w:color w:val="FFD84D"/>
                <w:sz w:val="20"/>
              </w:rPr>
              <w:t>Kennzahl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0B1E3A"/>
          </w:tcPr>
          <w:p>
            <w:pPr>
              <w:spacing w:after="0"/>
            </w:pPr>
            <w:r>
              <w:rPr>
                <w:b/>
                <w:color w:val="FFD84D"/>
                <w:sz w:val="20"/>
              </w:rPr>
              <w:t>12 Monate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0B1E3A"/>
          </w:tcPr>
          <w:p>
            <w:pPr>
              <w:spacing w:after="0"/>
            </w:pPr>
            <w:r>
              <w:rPr>
                <w:b/>
                <w:color w:val="FFD84D"/>
                <w:sz w:val="20"/>
              </w:rPr>
              <w:t>Durchschnitt pro Monat</w:t>
            </w:r>
          </w:p>
        </w:tc>
      </w:tr>
      <w:tr>
        <w:tc>
          <w:tcPr>
            <w:tcW w:type="dxa" w:w="3402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Besuche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108.008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ca. 9.000</w:t>
            </w:r>
          </w:p>
        </w:tc>
      </w:tr>
      <w:tr>
        <w:tc>
          <w:tcPr>
            <w:tcW w:type="dxa" w:w="3402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Seitenaufrufe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1.555.843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ca. 130.000</w:t>
            </w:r>
          </w:p>
        </w:tc>
      </w:tr>
      <w:tr>
        <w:tc>
          <w:tcPr>
            <w:tcW w:type="dxa" w:w="3402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Seiten pro Besuch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ca. 14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–</w:t>
            </w:r>
          </w:p>
        </w:tc>
      </w:tr>
      <w:tr>
        <w:tc>
          <w:tcPr>
            <w:tcW w:type="dxa" w:w="3402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Datenvolumen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ca. 105 GB</w:t>
            </w:r>
          </w:p>
        </w:tc>
        <w:tc>
          <w:tcPr>
            <w:tcW w:type="dxa" w:w="3118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ca. 8,8 GB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b w:val="0"/>
        </w:rPr>
        <w:t>Die hohe Zahl an Seiten pro Besuch zeigt: Die Nutzer*innen bleiben und üben aktiv. Die Nutzung folgt dem Schuljahr, mit Spitzen im März (14.384 Besuche) und Juni (13.762 Besuche) und einem ruhigeren Sommer.</w:t>
      </w:r>
    </w:p>
    <w:p>
      <w:pPr>
        <w:spacing w:after="120" w:before="0" w:line="300" w:lineRule="auto"/>
      </w:pPr>
      <w:r>
        <w:rPr>
          <w:b/>
          <w:color w:val="4A5F7A"/>
          <w:sz w:val="19"/>
        </w:rPr>
        <w:t xml:space="preserve">Hinweis: </w:t>
      </w:r>
      <w:r>
        <w:rPr>
          <w:b w:val="0"/>
          <w:color w:val="4A5F7A"/>
          <w:sz w:val="19"/>
        </w:rPr>
        <w:t>Die Statistik zählt auch automatisierte Zugriffe. Der Anteil echter Nutzer*innen liegt realistisch bei etwa 70 %.</w:t>
      </w:r>
    </w:p>
    <w:p>
      <w:pPr>
        <w:keepNext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Zielgruppe</w:t>
      </w:r>
    </w:p>
    <w:p>
      <w:pPr>
        <w:keepNext/>
        <w:spacing w:after="120" w:before="0" w:line="300" w:lineRule="auto"/>
      </w:pPr>
      <w:r>
        <w:rPr>
          <w:b w:val="0"/>
        </w:rPr>
        <w:t>Die Mathebox erreicht drei Gruppen, die sich im Bildungsbereich gegenseitig beeinflussen: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Lehrkräfte:</w:t>
      </w:r>
      <w:r>
        <w:rPr>
          <w:b w:val="0"/>
        </w:rPr>
        <w:t xml:space="preserve"> setzen sie im Unterricht und für Hausübungen ein und empfehlen sie im Kollegium weiter.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Schüler*innen:</w:t>
      </w:r>
      <w:r>
        <w:rPr>
          <w:b w:val="0"/>
        </w:rPr>
        <w:t xml:space="preserve"> üben allein oder in der Klasse, vor allem Kopfrechnen, Einmaleins und Formeln.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Eltern:</w:t>
      </w:r>
      <w:r>
        <w:rPr>
          <w:b w:val="0"/>
        </w:rPr>
        <w:t xml:space="preserve"> nutzen Übungsblätter mit Lösungen für das Lernen daheim.</w:t>
      </w:r>
    </w:p>
    <w:p>
      <w:pPr>
        <w:spacing w:after="120" w:before="0" w:line="300" w:lineRule="auto"/>
      </w:pPr>
      <w:r>
        <w:rPr>
          <w:b w:val="0"/>
        </w:rPr>
        <w:t>Der Schwerpunkt liegt in Österreich.</w:t>
      </w:r>
    </w:p>
    <w:p>
      <w:pPr>
        <w:keepNext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Das Sponsoring-Paket</w:t>
      </w:r>
    </w:p>
    <w:p>
      <w:pPr>
        <w:keepNext/>
        <w:spacing w:after="120" w:before="0" w:line="300" w:lineRule="auto"/>
      </w:pPr>
      <w:r>
        <w:rPr>
          <w:b w:val="0"/>
        </w:rPr>
        <w:t>Als Hauptsponsor ist Ihr Logo auf jeder Seite der Mathebox sichtbar und Sie sind der einzige Sponsor.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Großes Logo an prominenter Stelle auf allen Seiten, im Kopfbereich neben dem Mathebox-Logo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Exklusivität:</w:t>
      </w:r>
      <w:r>
        <w:rPr>
          <w:b w:val="0"/>
        </w:rPr>
        <w:t xml:space="preserve"> keine weiteren Sponsoren oder Werbebanner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Verlinkung des Logos auf eine Seite Ihrer Wahl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Nennung als Hauptsponsor auf der Startseite und auf einer eigenen Partner-Seite mit kurzem Text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Mitgestaltung des Wordings:</w:t>
      </w:r>
      <w:r>
        <w:rPr>
          <w:b w:val="0"/>
        </w:rPr>
        <w:t xml:space="preserve"> z. B. „Mit freundlicher Unterstützung von …“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Reichweiten-Bericht pro Quartal mit Besuchen und Seitenaufrufen</w:t>
      </w:r>
    </w:p>
    <w:p>
      <w:pPr>
        <w:spacing w:after="120" w:before="0" w:line="300" w:lineRule="auto"/>
      </w:pPr>
      <w:r>
        <w:rPr>
          <w:b w:val="0"/>
        </w:rPr>
        <w:t>Logo und Wortlaut stimmen wir vorab gemeinsam ab.</w:t>
      </w:r>
    </w:p>
    <w:p>
      <w:pPr>
        <w:keepNext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Ihre Vorteile als Sponsor</w:t>
      </w:r>
    </w:p>
    <w:p>
      <w:pPr>
        <w:keepNext/>
        <w:spacing w:after="120" w:before="0" w:line="300" w:lineRule="auto"/>
      </w:pPr>
      <w:r>
        <w:rPr>
          <w:b w:val="0"/>
        </w:rPr>
        <w:t>Sie positionieren Ihre Marke als Förderer von Bildung, genau dort, wo Lehrkräfte und Familien täglich lernen.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Gezielte Reichweite:</w:t>
      </w:r>
      <w:r>
        <w:rPr>
          <w:b w:val="0"/>
        </w:rPr>
        <w:t xml:space="preserve"> rund 100.000 Besuche pro Jahr aus Schule und Elternhaus in Österreich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Hohe Verweildauer:</w:t>
      </w:r>
      <w:r>
        <w:rPr>
          <w:b w:val="0"/>
        </w:rPr>
        <w:t xml:space="preserve"> etwa 14 Seiten pro Besuch, Ihr Logo ist bei jeder Seite sichtbar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Positives Umfeld:</w:t>
      </w:r>
      <w:r>
        <w:rPr>
          <w:b w:val="0"/>
        </w:rPr>
        <w:t xml:space="preserve"> kostenlos, werbefrei, ohne Registrierung – Vertrauen, das auf Sie abfärbt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Dauerhafte Präsenz:</w:t>
      </w:r>
      <w:r>
        <w:rPr>
          <w:b w:val="0"/>
        </w:rPr>
        <w:t xml:space="preserve"> das Logo steht während der gesamten Laufzeit auf allen Seiten, nicht nur während einer Kampagne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/>
        </w:rPr>
        <w:t>Sichtbarer Beitrag:</w:t>
      </w:r>
      <w:r>
        <w:rPr>
          <w:b w:val="0"/>
        </w:rPr>
        <w:t xml:space="preserve"> Die Mathebox bleibt für Schulen kostenlos, auch dank Ihrer Unterstützung</w:t>
      </w:r>
    </w:p>
    <w:p>
      <w:pPr>
        <w:keepNext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Datenschutz und Unabhängigkeit</w:t>
      </w:r>
    </w:p>
    <w:p>
      <w:pPr>
        <w:keepNext/>
        <w:spacing w:after="120" w:before="0" w:line="300" w:lineRule="auto"/>
      </w:pPr>
      <w:r>
        <w:rPr>
          <w:b w:val="0"/>
        </w:rPr>
        <w:t>Das Sponsoring verändert nichts am Datenschutz-Versprechen der Mathebox.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Das Logo ist ein statisches Bild, ohne Scripts, Cookies oder Tracking.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Der Sponsor erhält keine Nutzerdaten. Es werden keine personenbezogenen Daten gespeichert.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Die Inhalte und Aufgaben bleiben unabhängig: Der Sponsor nimmt keinen Einfluss darauf.</w:t>
      </w:r>
    </w:p>
    <w:p>
      <w:pPr>
        <w:spacing w:after="80" w:line="288" w:lineRule="auto"/>
        <w:ind w:left="397" w:hanging="283"/>
      </w:pPr>
      <w:r>
        <w:rPr>
          <w:b w:val="0"/>
          <w:color w:val="1F5FBF"/>
          <w:sz w:val="14"/>
        </w:rPr>
        <w:t xml:space="preserve">●  </w:t>
      </w:r>
      <w:r>
        <w:rPr>
          <w:b w:val="0"/>
        </w:rPr>
        <w:t>Es gibt keine Werbung für Kinder, nur die dezente Nennung als Förderer.</w:t>
      </w:r>
    </w:p>
    <w:p>
      <w:pPr>
        <w:keepNext/>
        <w:pageBreakBefore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Konditionen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D1"/>
            <w:tcMar>
              <w:top w:w="140" w:type="dxa"/>
              <w:left w:w="240" w:type="dxa"/>
              <w:bottom w:w="140" w:type="dxa"/>
              <w:right w:w="240" w:type="dxa"/>
            </w:tcMar>
            <w:tcBorders>
              <w:top w:val="nil"/>
              <w:left w:val="single" w:sz="24" w:color="E0B400"/>
              <w:bottom w:val="nil"/>
              <w:right w:val="nil"/>
            </w:tcBorders>
          </w:tcPr>
          <w:p>
            <w:pPr>
              <w:spacing w:after="0" w:line="300" w:lineRule="auto"/>
            </w:pPr>
            <w:r>
              <w:rPr>
                <w:b w:val="0"/>
              </w:rPr>
            </w:r>
            <w:r>
              <w:rPr>
                <w:b/>
              </w:rPr>
              <w:t>Das Hauptsponsoring kostet 6.000 € für 12 Monate</w:t>
            </w:r>
            <w:r>
              <w:rPr>
                <w:b w:val="0"/>
              </w:rPr>
              <w:t xml:space="preserve"> (Preisvorschlag, über Laufzeit und Leistungen verhandelbar).</w:t>
            </w:r>
          </w:p>
        </w:tc>
      </w:tr>
    </w:tbl>
    <w:p>
      <w:pPr>
        <w:spacing w:after="80" w:before="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0B1E3A"/>
          </w:tcPr>
          <w:p>
            <w:pPr>
              <w:spacing w:after="0"/>
            </w:pPr>
            <w:r>
              <w:rPr>
                <w:b/>
                <w:color w:val="FFD84D"/>
                <w:sz w:val="20"/>
              </w:rPr>
              <w:t>Punkt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0B1E3A"/>
          </w:tcPr>
          <w:p>
            <w:pPr>
              <w:spacing w:after="0"/>
            </w:pPr>
            <w:r>
              <w:rPr>
                <w:b/>
                <w:color w:val="FFD84D"/>
                <w:sz w:val="20"/>
              </w:rPr>
              <w:t>Vorschlag</w:t>
            </w:r>
          </w:p>
        </w:tc>
      </w:tr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Laufzeit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12 Monate, mit Option auf Verlängerung</w:t>
            </w:r>
          </w:p>
        </w:tc>
      </w:tr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Preis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6.000 € pro Jahr (zzgl. USt., falls zutreffend)</w:t>
            </w:r>
          </w:p>
        </w:tc>
      </w:tr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Mehrjahresvertrag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10 % Rabatt bei 2 Jahren Laufzeit</w:t>
            </w:r>
          </w:p>
        </w:tc>
      </w:tr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Zahlung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jährlich im Voraus oder in 2 Raten</w:t>
            </w:r>
          </w:p>
        </w:tc>
      </w:tr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Exklusivität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ein Hauptsponsor, keine weiteren Banner</w:t>
            </w:r>
          </w:p>
        </w:tc>
      </w:tr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Kündigung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FFFFF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beiderseitig, mit 3 Monaten Frist zum Laufzeitende</w:t>
            </w:r>
          </w:p>
        </w:tc>
      </w:tr>
      <w:tr>
        <w:tc>
          <w:tcPr>
            <w:tcW w:type="dxa" w:w="2835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/>
                <w:color w:val="0B1E3A"/>
                <w:sz w:val="20"/>
              </w:rPr>
              <w:t>Reporting</w:t>
            </w:r>
          </w:p>
        </w:tc>
        <w:tc>
          <w:tcPr>
            <w:tcW w:type="dxa" w:w="6803"/>
            <w:tcMar>
              <w:top w:w="90" w:type="dxa"/>
              <w:left w:w="150" w:type="dxa"/>
              <w:bottom w:w="90" w:type="dxa"/>
              <w:right w:w="150" w:type="dxa"/>
            </w:tcMar>
            <w:tcBorders>
              <w:top w:val="single" w:sz="4" w:color="B9D0EE"/>
              <w:left w:val="single" w:sz="4" w:color="B9D0EE"/>
              <w:bottom w:val="single" w:sz="4" w:color="B9D0EE"/>
              <w:right w:val="single" w:sz="4" w:color="B9D0EE"/>
            </w:tcBorders>
            <w:shd w:val="clear" w:color="auto" w:fill="F5F9FE"/>
          </w:tcPr>
          <w:p>
            <w:pPr>
              <w:spacing w:after="0"/>
            </w:pPr>
            <w:r>
              <w:rPr>
                <w:b w:val="0"/>
                <w:color w:val="0B1E3A"/>
                <w:sz w:val="20"/>
              </w:rPr>
              <w:t>Besuche und Seitenaufrufe pro Quartal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20" w:before="280" w:line="300" w:lineRule="auto"/>
      </w:pPr>
      <w:r>
        <w:rPr>
          <w:rFonts w:ascii="Poppins" w:hAnsi="Poppins" w:eastAsia="Poppins"/>
          <w:b/>
          <w:color w:val="0B1E3A"/>
          <w:sz w:val="32"/>
          <w:shd w:val="clear" w:color="auto" w:fill="FFD84D"/>
        </w:rPr>
        <w:t>Kontakt und nächste Schritte</w:t>
      </w:r>
    </w:p>
    <w:p>
      <w:pPr>
        <w:keepNext/>
        <w:spacing w:after="160" w:before="0" w:line="300" w:lineRule="auto"/>
      </w:pPr>
      <w:r>
        <w:rPr>
          <w:b w:val="0"/>
        </w:rPr>
        <w:t>Gern besprechen wir Ihr Sponsoring in einem kurzen Telefonat von 15 Minuten.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5F9FE"/>
            <w:tcMar>
              <w:top w:w="140" w:type="dxa"/>
              <w:left w:w="140" w:type="dxa"/>
              <w:bottom w:w="140" w:type="dxa"/>
              <w:right w:w="140" w:type="dxa"/>
            </w:tcMar>
            <w:tcBorders>
              <w:top w:val="single" w:sz="6" w:color="B9D0EE"/>
              <w:left w:val="single" w:sz="6" w:color="B9D0EE"/>
              <w:bottom w:val="single" w:sz="6" w:color="B9D0EE"/>
              <w:right w:val="single" w:sz="6" w:color="B9D0EE"/>
            </w:tcBorders>
          </w:tcPr>
          <w:p>
            <w:pPr>
              <w:spacing w:after="80"/>
            </w:pPr>
            <w:r>
              <w:rPr>
                <w:rFonts w:ascii="Poppins" w:hAnsi="Poppins" w:eastAsia="Poppins"/>
                <w:b/>
                <w:color w:val="1F5FBF"/>
                <w:sz w:val="44"/>
              </w:rPr>
              <w:t>1</w:t>
            </w:r>
          </w:p>
          <w:p>
            <w:pPr>
              <w:spacing w:after="0"/>
            </w:pPr>
            <w:r>
              <w:rPr>
                <w:b/>
                <w:sz w:val="20"/>
              </w:rPr>
              <w:t>Kennenlernen und Fragen klären</w:t>
            </w:r>
          </w:p>
        </w:tc>
        <w:tc>
          <w:tcPr>
            <w:tcW w:type="dxa" w:w="2409"/>
            <w:shd w:val="clear" w:color="auto" w:fill="F5F9FE"/>
            <w:tcMar>
              <w:top w:w="140" w:type="dxa"/>
              <w:left w:w="140" w:type="dxa"/>
              <w:bottom w:w="140" w:type="dxa"/>
              <w:right w:w="140" w:type="dxa"/>
            </w:tcMar>
            <w:tcBorders>
              <w:top w:val="single" w:sz="6" w:color="B9D0EE"/>
              <w:left w:val="single" w:sz="6" w:color="B9D0EE"/>
              <w:bottom w:val="single" w:sz="6" w:color="B9D0EE"/>
              <w:right w:val="single" w:sz="6" w:color="B9D0EE"/>
            </w:tcBorders>
          </w:tcPr>
          <w:p>
            <w:pPr>
              <w:spacing w:after="80"/>
            </w:pPr>
            <w:r>
              <w:rPr>
                <w:rFonts w:ascii="Poppins" w:hAnsi="Poppins" w:eastAsia="Poppins"/>
                <w:b/>
                <w:color w:val="1F5FBF"/>
                <w:sz w:val="44"/>
              </w:rPr>
              <w:t>2</w:t>
            </w:r>
          </w:p>
          <w:p>
            <w:pPr>
              <w:spacing w:after="0"/>
            </w:pPr>
            <w:r>
              <w:rPr>
                <w:b/>
                <w:sz w:val="20"/>
              </w:rPr>
              <w:t>Logo und Wortlaut abstimmen</w:t>
            </w:r>
          </w:p>
        </w:tc>
        <w:tc>
          <w:tcPr>
            <w:tcW w:type="dxa" w:w="2409"/>
            <w:shd w:val="clear" w:color="auto" w:fill="F5F9FE"/>
            <w:tcMar>
              <w:top w:w="140" w:type="dxa"/>
              <w:left w:w="140" w:type="dxa"/>
              <w:bottom w:w="140" w:type="dxa"/>
              <w:right w:w="140" w:type="dxa"/>
            </w:tcMar>
            <w:tcBorders>
              <w:top w:val="single" w:sz="6" w:color="B9D0EE"/>
              <w:left w:val="single" w:sz="6" w:color="B9D0EE"/>
              <w:bottom w:val="single" w:sz="6" w:color="B9D0EE"/>
              <w:right w:val="single" w:sz="6" w:color="B9D0EE"/>
            </w:tcBorders>
          </w:tcPr>
          <w:p>
            <w:pPr>
              <w:spacing w:after="80"/>
            </w:pPr>
            <w:r>
              <w:rPr>
                <w:rFonts w:ascii="Poppins" w:hAnsi="Poppins" w:eastAsia="Poppins"/>
                <w:b/>
                <w:color w:val="1F5FBF"/>
                <w:sz w:val="44"/>
              </w:rPr>
              <w:t>3</w:t>
            </w:r>
          </w:p>
          <w:p>
            <w:pPr>
              <w:spacing w:after="0"/>
            </w:pPr>
            <w:r>
              <w:rPr>
                <w:b/>
                <w:sz w:val="20"/>
              </w:rPr>
              <w:t>Vereinbarung unterzeichnen</w:t>
            </w:r>
          </w:p>
        </w:tc>
        <w:tc>
          <w:tcPr>
            <w:tcW w:type="dxa" w:w="2409"/>
            <w:shd w:val="clear" w:color="auto" w:fill="F5F9FE"/>
            <w:tcMar>
              <w:top w:w="140" w:type="dxa"/>
              <w:left w:w="140" w:type="dxa"/>
              <w:bottom w:w="140" w:type="dxa"/>
              <w:right w:w="140" w:type="dxa"/>
            </w:tcMar>
            <w:tcBorders>
              <w:top w:val="single" w:sz="6" w:color="B9D0EE"/>
              <w:left w:val="single" w:sz="6" w:color="B9D0EE"/>
              <w:bottom w:val="single" w:sz="6" w:color="B9D0EE"/>
              <w:right w:val="single" w:sz="6" w:color="B9D0EE"/>
            </w:tcBorders>
          </w:tcPr>
          <w:p>
            <w:pPr>
              <w:spacing w:after="80"/>
            </w:pPr>
            <w:r>
              <w:rPr>
                <w:rFonts w:ascii="Poppins" w:hAnsi="Poppins" w:eastAsia="Poppins"/>
                <w:b/>
                <w:color w:val="1F5FBF"/>
                <w:sz w:val="44"/>
              </w:rPr>
              <w:t>4</w:t>
            </w:r>
          </w:p>
          <w:p>
            <w:pPr>
              <w:spacing w:after="0"/>
            </w:pPr>
            <w:r>
              <w:rPr>
                <w:b/>
                <w:sz w:val="20"/>
              </w:rPr>
              <w:t>Logo geht auf allen Seiten online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1E3A"/>
            <w:tcMar>
              <w:top w:w="260" w:type="dxa"/>
              <w:left w:w="360" w:type="dxa"/>
              <w:bottom w:w="260" w:type="dxa"/>
              <w:right w:w="3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Poppins" w:hAnsi="Poppins" w:eastAsia="Poppins"/>
                <w:b/>
                <w:color w:val="FFFFFF"/>
                <w:sz w:val="26"/>
              </w:rPr>
              <w:t>Armin Heske, Mathebox</w:t>
            </w:r>
          </w:p>
          <w:p>
            <w:pPr>
              <w:spacing w:after="0"/>
            </w:pPr>
            <w:r>
              <w:rPr>
                <w:b/>
                <w:color w:val="FFD84D"/>
                <w:sz w:val="21"/>
              </w:rPr>
              <w:t xml:space="preserve">E-Mail: </w:t>
            </w:r>
            <w:r>
              <w:rPr>
                <w:b w:val="0"/>
                <w:color w:val="FFFFFF"/>
                <w:sz w:val="21"/>
                <w:shd w:val="clear" w:color="auto" w:fill="3A5A8A"/>
              </w:rPr>
              <w:t>[E-Mail-Adresse einfügen]</w:t>
            </w:r>
            <w:r>
              <w:rPr>
                <w:b/>
                <w:color w:val="FFD84D"/>
                <w:sz w:val="21"/>
              </w:rPr>
              <w:t xml:space="preserve">   Telefon: </w:t>
            </w:r>
            <w:r>
              <w:rPr>
                <w:b w:val="0"/>
                <w:color w:val="FFFFFF"/>
                <w:sz w:val="21"/>
                <w:shd w:val="clear" w:color="auto" w:fill="3A5A8A"/>
              </w:rPr>
              <w:t>[Telefonnummer einfügen]</w:t>
            </w:r>
            <w:r>
              <w:rPr>
                <w:b/>
                <w:color w:val="FFD84D"/>
                <w:sz w:val="21"/>
              </w:rPr>
              <w:t xml:space="preserve">   Web: </w:t>
            </w:r>
            <w:r>
              <w:rPr>
                <w:b w:val="0"/>
                <w:color w:val="FFFFFF"/>
                <w:sz w:val="21"/>
              </w:rPr>
              <w:t>www.mathebox.at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4A5F7A"/>
        <w:sz w:val="17"/>
      </w:rPr>
      <w:t>Mathebox · Sponsoring-Angebot · mathebox.at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E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