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A5F9E" w14:textId="77777777" w:rsidR="00A20880" w:rsidRDefault="00A20880"/>
    <w:p w14:paraId="1A931EB2" w14:textId="77777777" w:rsidR="001F1F43" w:rsidRDefault="001922F5">
      <w:pPr>
        <w:spacing w:after="40"/>
        <w:jc w:val="center"/>
      </w:pPr>
      <w:r>
        <w:rPr>
          <w:b/>
          <w:sz w:val="32"/>
        </w:rPr>
        <w:t>Views on the ground from London Tech Week 2026</w:t>
      </w:r>
    </w:p>
    <w:p w14:paraId="190D6011" w14:textId="77777777" w:rsidR="001F1F43" w:rsidRDefault="001922F5">
      <w:pPr>
        <w:spacing w:after="240"/>
        <w:jc w:val="center"/>
      </w:pPr>
      <w:r>
        <w:rPr>
          <w:color w:val="505050"/>
        </w:rPr>
        <w:t>June 2026</w:t>
      </w:r>
    </w:p>
    <w:p w14:paraId="312B3801" w14:textId="77777777" w:rsidR="001F1F43" w:rsidRDefault="001922F5">
      <w:pPr>
        <w:spacing w:before="120"/>
      </w:pPr>
      <w:r>
        <w:rPr>
          <w:b/>
          <w:color w:val="2A002A"/>
          <w:sz w:val="24"/>
        </w:rPr>
        <w:t>I. Summary</w:t>
      </w:r>
    </w:p>
    <w:p w14:paraId="719468A2" w14:textId="05589F62" w:rsidR="00B8093E" w:rsidRDefault="001922F5">
      <w:r>
        <w:t xml:space="preserve">The two prevailing themes </w:t>
      </w:r>
      <w:r w:rsidR="00B8093E">
        <w:t xml:space="preserve">we observed at </w:t>
      </w:r>
      <w:r>
        <w:t xml:space="preserve">London Tech Week 2026 were </w:t>
      </w:r>
      <w:r>
        <w:rPr>
          <w:b/>
        </w:rPr>
        <w:t>sovereignty</w:t>
      </w:r>
      <w:r>
        <w:t xml:space="preserve"> and </w:t>
      </w:r>
      <w:r>
        <w:rPr>
          <w:b/>
        </w:rPr>
        <w:t>capital</w:t>
      </w:r>
      <w:r>
        <w:t xml:space="preserve">. </w:t>
      </w:r>
    </w:p>
    <w:p w14:paraId="270C2076" w14:textId="77777777" w:rsidR="001F1F43" w:rsidRDefault="001922F5" w:rsidP="008D03FF">
      <w:r>
        <w:t xml:space="preserve">The UK state showed up </w:t>
      </w:r>
      <w:proofErr w:type="spellStart"/>
      <w:r>
        <w:t>en</w:t>
      </w:r>
      <w:proofErr w:type="spellEnd"/>
      <w:r>
        <w:t xml:space="preserve"> masse. Sir Keir Starmer opened the week, Lord Vallance and Kanishka Narayan spoke, Sadiq Khan launched his own </w:t>
      </w:r>
      <w:proofErr w:type="spellStart"/>
      <w:r>
        <w:t>programme</w:t>
      </w:r>
      <w:proofErr w:type="spellEnd"/>
      <w:r>
        <w:t>, and HRH The Prince of Wales joined a panel. When the government, City Hall and a future king all appear, technology infrastructure has become statecraft.</w:t>
      </w:r>
    </w:p>
    <w:p w14:paraId="174623C4" w14:textId="77777777" w:rsidR="001F1F43" w:rsidRDefault="001922F5" w:rsidP="00165025">
      <w:pPr>
        <w:pStyle w:val="ListBullet"/>
      </w:pPr>
      <w:r>
        <w:t xml:space="preserve">In terms of capital, the UK is </w:t>
      </w:r>
      <w:r w:rsidRPr="00E37A27">
        <w:rPr>
          <w:b/>
          <w:bCs/>
        </w:rPr>
        <w:t>strong at building companies</w:t>
      </w:r>
      <w:r>
        <w:t xml:space="preserve"> and weaker at keeping them. </w:t>
      </w:r>
      <w:hyperlink r:id="rId5">
        <w:r w:rsidR="001F1F43">
          <w:rPr>
            <w:color w:val="0563C1"/>
            <w:u w:val="single"/>
          </w:rPr>
          <w:t>Tech Nation's 2026 report</w:t>
        </w:r>
      </w:hyperlink>
      <w:r>
        <w:t xml:space="preserve"> values the sector at around £1.2 trillion, yet roughly 57p of every pound of AI exit value flows to the US and around half of UK AI investment comes from American investors. Europe's constraint is not talent but the </w:t>
      </w:r>
      <w:r w:rsidRPr="00E37A27">
        <w:rPr>
          <w:b/>
          <w:bCs/>
        </w:rPr>
        <w:t>absence of scale capital</w:t>
      </w:r>
      <w:r>
        <w:t xml:space="preserve"> at the growth stage — the point at which ownership, and therefore sovereignty, is decided.</w:t>
      </w:r>
    </w:p>
    <w:p w14:paraId="78D6C1F5" w14:textId="77777777" w:rsidR="001F1F43" w:rsidRDefault="001922F5" w:rsidP="00165025">
      <w:pPr>
        <w:pStyle w:val="ListBullet"/>
      </w:pPr>
      <w:r>
        <w:t xml:space="preserve">This produced an </w:t>
      </w:r>
      <w:r w:rsidRPr="00E37A27">
        <w:rPr>
          <w:b/>
          <w:bCs/>
        </w:rPr>
        <w:t>underlying tension between the main stages and the expo floor</w:t>
      </w:r>
      <w:r>
        <w:t>: whoever owns the compute and writes the cheque tends to end up owning the company, and with it the story of where value was made. Main-stage messaging said build in Britain. A large share of exhibition stands belonged to other nations pitching themselves as the place to incorporate and relocate.</w:t>
      </w:r>
    </w:p>
    <w:p w14:paraId="61DBD734" w14:textId="77777777" w:rsidR="001F1F43" w:rsidRDefault="001922F5">
      <w:pPr>
        <w:spacing w:before="240"/>
      </w:pPr>
      <w:r>
        <w:rPr>
          <w:b/>
          <w:color w:val="2A002A"/>
          <w:sz w:val="24"/>
        </w:rPr>
        <w:t>II. Capital and ownership</w:t>
      </w:r>
    </w:p>
    <w:p w14:paraId="49DBC1D4" w14:textId="3D09A814" w:rsidR="001F1F43" w:rsidRDefault="001922F5">
      <w:r>
        <w:t xml:space="preserve">The headline figures are strong, but the ownership picture is not. </w:t>
      </w:r>
    </w:p>
    <w:p w14:paraId="026F640B" w14:textId="77777777" w:rsidR="00F6745F" w:rsidRDefault="001922F5" w:rsidP="00E37A27">
      <w:pPr>
        <w:pStyle w:val="ListParagraph"/>
        <w:numPr>
          <w:ilvl w:val="0"/>
          <w:numId w:val="18"/>
        </w:numPr>
      </w:pPr>
      <w:r>
        <w:t xml:space="preserve">The structural problem is not early-stage funding but </w:t>
      </w:r>
      <w:r w:rsidRPr="00E37A27">
        <w:rPr>
          <w:b/>
          <w:bCs/>
        </w:rPr>
        <w:t>growth capital</w:t>
      </w:r>
      <w:r>
        <w:t xml:space="preserve">. </w:t>
      </w:r>
    </w:p>
    <w:p w14:paraId="4C434F96" w14:textId="77777777" w:rsidR="00F6745F" w:rsidRDefault="001922F5" w:rsidP="00E37A27">
      <w:pPr>
        <w:pStyle w:val="ListParagraph"/>
        <w:numPr>
          <w:ilvl w:val="0"/>
          <w:numId w:val="18"/>
        </w:numPr>
      </w:pPr>
      <w:r>
        <w:t xml:space="preserve">European founders who survive seed and Series A still face a cliff where scale requires hundreds of millions, </w:t>
      </w:r>
      <w:r w:rsidR="00F6745F">
        <w:t xml:space="preserve">rather than </w:t>
      </w:r>
      <w:r>
        <w:t xml:space="preserve">tens. </w:t>
      </w:r>
    </w:p>
    <w:p w14:paraId="0DD1F9DD" w14:textId="77777777" w:rsidR="00F6745F" w:rsidRDefault="001922F5" w:rsidP="00E37A27">
      <w:pPr>
        <w:pStyle w:val="ListParagraph"/>
        <w:numPr>
          <w:ilvl w:val="0"/>
          <w:numId w:val="18"/>
        </w:numPr>
      </w:pPr>
      <w:r>
        <w:t xml:space="preserve">That gap is filled overwhelmingly by US investors who bring not just capital but governance terms, board seats, and an expectation of eventual US incorporation. </w:t>
      </w:r>
    </w:p>
    <w:p w14:paraId="3EF17BD7" w14:textId="77777777" w:rsidR="00F6745F" w:rsidRDefault="001922F5" w:rsidP="00E37A27">
      <w:pPr>
        <w:pStyle w:val="ListParagraph"/>
        <w:numPr>
          <w:ilvl w:val="0"/>
          <w:numId w:val="18"/>
        </w:numPr>
      </w:pPr>
      <w:r>
        <w:t xml:space="preserve">The result is a repeating pattern: </w:t>
      </w:r>
      <w:r w:rsidRPr="00E37A27">
        <w:rPr>
          <w:b/>
          <w:bCs/>
        </w:rPr>
        <w:t>value is created in Europe and captured in the US</w:t>
      </w:r>
      <w:r>
        <w:t xml:space="preserve">. </w:t>
      </w:r>
    </w:p>
    <w:p w14:paraId="0EA7B6FD" w14:textId="6B3074D7" w:rsidR="001F1F43" w:rsidRDefault="00FE36AB" w:rsidP="00E37A27">
      <w:pPr>
        <w:pStyle w:val="ListParagraph"/>
        <w:numPr>
          <w:ilvl w:val="0"/>
          <w:numId w:val="18"/>
        </w:numPr>
      </w:pPr>
      <w:r>
        <w:t xml:space="preserve">NB. </w:t>
      </w:r>
      <w:r w:rsidRPr="00E37A27">
        <w:rPr>
          <w:b/>
          <w:bCs/>
        </w:rPr>
        <w:t>DeepMind</w:t>
      </w:r>
      <w:r>
        <w:t xml:space="preserve"> remains the cautionary reference </w:t>
      </w:r>
      <w:r w:rsidR="00613FB5">
        <w:t>–</w:t>
      </w:r>
      <w:r>
        <w:t xml:space="preserve"> a London company sold to Google in 2014 for a reported £400m, still in King's Cross, but with ownership and value long since moved across the Atlantic.</w:t>
      </w:r>
    </w:p>
    <w:p w14:paraId="5323BAA3" w14:textId="4AFD7BD0" w:rsidR="001F1F43" w:rsidRDefault="005B73D0">
      <w:r>
        <w:t xml:space="preserve">Multiple speakers touched on the idea that foreign capital dependency transfers more than just value. It fragments ecosystems, accelerates brain drain, and weakens the cohesion that allows clusters to compound. </w:t>
      </w:r>
    </w:p>
    <w:p w14:paraId="39F777A4" w14:textId="77777777" w:rsidR="00223756" w:rsidRDefault="001922F5">
      <w:r>
        <w:t>Governments are responding</w:t>
      </w:r>
      <w:r w:rsidR="003B2B05">
        <w:t xml:space="preserve"> and, as one panelist observed “</w:t>
      </w:r>
      <w:r w:rsidR="003B2B05" w:rsidRPr="00E37A27">
        <w:rPr>
          <w:b/>
          <w:bCs/>
        </w:rPr>
        <w:t>tech is geopolitics, and geopolitics is tech</w:t>
      </w:r>
      <w:r w:rsidR="003B2B05">
        <w:t>”</w:t>
      </w:r>
      <w:r>
        <w:t xml:space="preserve">. </w:t>
      </w:r>
    </w:p>
    <w:p w14:paraId="1CBBD7EF" w14:textId="3092F9E9" w:rsidR="001F1F43" w:rsidRDefault="001922F5">
      <w:r>
        <w:t xml:space="preserve">The </w:t>
      </w:r>
      <w:r w:rsidRPr="00E37A27">
        <w:rPr>
          <w:b/>
          <w:bCs/>
        </w:rPr>
        <w:t>emergence of sovereign AI funds</w:t>
      </w:r>
      <w:r w:rsidR="00000000">
        <w:t xml:space="preserve"> </w:t>
      </w:r>
      <w:r w:rsidR="00A05BBC">
        <w:t>around the world</w:t>
      </w:r>
      <w:r>
        <w:t xml:space="preserve"> represents a new model of public capital allocation</w:t>
      </w:r>
      <w:r w:rsidR="00000000">
        <w:t>.</w:t>
      </w:r>
      <w:r>
        <w:t xml:space="preserve"> </w:t>
      </w:r>
      <w:r w:rsidR="000767F8">
        <w:t>The UK’s £500m</w:t>
      </w:r>
      <w:r w:rsidR="00000000">
        <w:t xml:space="preserve"> </w:t>
      </w:r>
      <w:r w:rsidR="006E3CF2">
        <w:t>fund launched in April 2026</w:t>
      </w:r>
      <w:r w:rsidR="003168DC">
        <w:t>, which was further supplemented by a £1.1</w:t>
      </w:r>
      <w:r w:rsidR="00A734EF">
        <w:t>bn AI Hardware Plan announced at London Tech Week 2026</w:t>
      </w:r>
      <w:r w:rsidR="00F358A7">
        <w:t xml:space="preserve"> </w:t>
      </w:r>
      <w:r w:rsidR="007B0673">
        <w:t>covering a national supercomputer, specialist chips, and compute access.</w:t>
      </w:r>
      <w:r w:rsidR="00F358A7">
        <w:t xml:space="preserve"> </w:t>
      </w:r>
      <w:r>
        <w:t>The logic is that capital allocation decisions around AI infrastructure, data residency, and compute are now, in effect, sovereignty decisions. Public-private collaboration is becoming the only credible route to funding frontier technologies at the required scale, and the states that move first will shape the terms.</w:t>
      </w:r>
    </w:p>
    <w:p w14:paraId="7DF1A58B" w14:textId="77777777" w:rsidR="0088600A" w:rsidRDefault="0088600A"/>
    <w:p w14:paraId="6D57A1B2" w14:textId="77777777" w:rsidR="001F1F43" w:rsidRDefault="001922F5">
      <w:pPr>
        <w:spacing w:before="240"/>
      </w:pPr>
      <w:r>
        <w:rPr>
          <w:b/>
          <w:color w:val="2A002A"/>
          <w:sz w:val="24"/>
        </w:rPr>
        <w:lastRenderedPageBreak/>
        <w:t>III. Infrastructure as statecraft</w:t>
      </w:r>
    </w:p>
    <w:p w14:paraId="55E31A81" w14:textId="4CFD2178" w:rsidR="001F1F43" w:rsidRDefault="001922F5">
      <w:r>
        <w:t xml:space="preserve">Power is now the binding constraint on AI. The </w:t>
      </w:r>
      <w:hyperlink r:id="rId6">
        <w:r w:rsidR="001F1F43">
          <w:rPr>
            <w:color w:val="0563C1"/>
            <w:u w:val="single"/>
          </w:rPr>
          <w:t>Mayor's City Hall report</w:t>
        </w:r>
      </w:hyperlink>
      <w:r>
        <w:t xml:space="preserve"> found that requests to connect new data </w:t>
      </w:r>
      <w:proofErr w:type="spellStart"/>
      <w:r>
        <w:t>centres</w:t>
      </w:r>
      <w:proofErr w:type="spellEnd"/>
      <w:r>
        <w:t xml:space="preserve"> to London's grid already run to roughly ten times the power existing </w:t>
      </w:r>
      <w:proofErr w:type="spellStart"/>
      <w:r>
        <w:t>centres</w:t>
      </w:r>
      <w:proofErr w:type="spellEnd"/>
      <w:r>
        <w:t xml:space="preserve"> draw, making grid access a strategic and political issue</w:t>
      </w:r>
      <w:r w:rsidR="00000000">
        <w:t>.</w:t>
      </w:r>
      <w:r>
        <w:t xml:space="preserve"> Sovereignty rhetoric across the week repeatedly tied compute to energy: a country's AI capacity is ultimately limited by what its grid can carry.</w:t>
      </w:r>
    </w:p>
    <w:p w14:paraId="047CB5D6" w14:textId="7BEDFF49" w:rsidR="001F1F43" w:rsidRDefault="001922F5">
      <w:r>
        <w:t xml:space="preserve">Inward investment </w:t>
      </w:r>
      <w:r w:rsidR="009D3ACD">
        <w:t>is coming</w:t>
      </w:r>
      <w:r>
        <w:t xml:space="preserve"> </w:t>
      </w:r>
      <w:r w:rsidR="00613FB5">
        <w:t>–</w:t>
      </w:r>
      <w:r>
        <w:t xml:space="preserve"> AMD committed up to £2bn over five years, </w:t>
      </w:r>
      <w:proofErr w:type="spellStart"/>
      <w:r>
        <w:t>Nebius</w:t>
      </w:r>
      <w:proofErr w:type="spellEnd"/>
      <w:r>
        <w:t xml:space="preserve"> around £1.7bn, alongside a £1.1bn national AI Hardware Plan and £400m for specialist compute. But each investment raises the same question:</w:t>
      </w:r>
      <w:r w:rsidR="00261279">
        <w:t xml:space="preserve"> once it’s built,</w:t>
      </w:r>
      <w:r>
        <w:t xml:space="preserve"> </w:t>
      </w:r>
      <w:r w:rsidRPr="00E37A27">
        <w:rPr>
          <w:b/>
          <w:bCs/>
        </w:rPr>
        <w:t>who controls the infrastructure</w:t>
      </w:r>
      <w:r w:rsidR="00000000" w:rsidRPr="00E37A27">
        <w:rPr>
          <w:b/>
          <w:bCs/>
        </w:rPr>
        <w:t>?</w:t>
      </w:r>
      <w:r>
        <w:t xml:space="preserve"> Dependence on a small number of hyperscale providers creates lock-in that is itself a sovereignty risk. If the compute layer is owned and operated by foreign platforms, data residency obligations become a legal fiction and economic value accrues where the platform is domiciled, not where the data originates.</w:t>
      </w:r>
    </w:p>
    <w:p w14:paraId="0D158BA5" w14:textId="77777777" w:rsidR="00F6745F" w:rsidRDefault="001922F5" w:rsidP="00E37A27">
      <w:pPr>
        <w:pStyle w:val="ListParagraph"/>
        <w:numPr>
          <w:ilvl w:val="0"/>
          <w:numId w:val="15"/>
        </w:numPr>
      </w:pPr>
      <w:r w:rsidRPr="009D3ACD">
        <w:t>George Osborne, now at OpenAI</w:t>
      </w:r>
      <w:r>
        <w:t xml:space="preserve">, argued that </w:t>
      </w:r>
      <w:r w:rsidRPr="00E37A27">
        <w:rPr>
          <w:b/>
          <w:bCs/>
        </w:rPr>
        <w:t>owning every layer of the stack is a fool's errand</w:t>
      </w:r>
      <w:r>
        <w:t xml:space="preserve"> and that indispensability beats self-sufficiency. </w:t>
      </w:r>
    </w:p>
    <w:p w14:paraId="150B356F" w14:textId="77777777" w:rsidR="00F6745F" w:rsidRDefault="001922F5" w:rsidP="00E37A27">
      <w:pPr>
        <w:pStyle w:val="ListParagraph"/>
        <w:numPr>
          <w:ilvl w:val="0"/>
          <w:numId w:val="15"/>
        </w:numPr>
      </w:pPr>
      <w:r>
        <w:t xml:space="preserve">Judith Dada of Visionaries Club countered that the strategic prize is owning the bottlenecks that confer leverage, noting Europe holds a small share of global AI compute against roughly four-fifths in the US. </w:t>
      </w:r>
    </w:p>
    <w:p w14:paraId="3F588698" w14:textId="1659A662" w:rsidR="001F1F43" w:rsidRDefault="001922F5" w:rsidP="00E37A27">
      <w:pPr>
        <w:pStyle w:val="ListParagraph"/>
        <w:numPr>
          <w:ilvl w:val="0"/>
          <w:numId w:val="15"/>
        </w:numPr>
      </w:pPr>
      <w:r>
        <w:t xml:space="preserve">The pragmatic consensus was that </w:t>
      </w:r>
      <w:r w:rsidRPr="00E37A27">
        <w:rPr>
          <w:b/>
          <w:bCs/>
        </w:rPr>
        <w:t>sovereignty should be understood as strategic independence</w:t>
      </w:r>
      <w:r>
        <w:t xml:space="preserve"> </w:t>
      </w:r>
      <w:r w:rsidR="00613FB5">
        <w:t>–</w:t>
      </w:r>
      <w:r>
        <w:t xml:space="preserve"> the ability to act without permission </w:t>
      </w:r>
      <w:r w:rsidR="00613FB5">
        <w:t>–</w:t>
      </w:r>
      <w:r>
        <w:t xml:space="preserve"> rather than full </w:t>
      </w:r>
      <w:r w:rsidR="007B0FD8">
        <w:t>economic independence</w:t>
      </w:r>
      <w:r w:rsidR="00000000">
        <w:t>.</w:t>
      </w:r>
      <w:r>
        <w:t xml:space="preserve"> But strategic independence still requires control over the infrastructure, capital, and talent on which it depends. Regional competitiveness will be determined by the nations that couple all three.</w:t>
      </w:r>
    </w:p>
    <w:p w14:paraId="5095584C" w14:textId="77777777" w:rsidR="001F1F43" w:rsidRDefault="001922F5">
      <w:pPr>
        <w:spacing w:before="240"/>
      </w:pPr>
      <w:r>
        <w:rPr>
          <w:b/>
          <w:color w:val="2A002A"/>
          <w:sz w:val="24"/>
        </w:rPr>
        <w:t>IV. Implications for communicators</w:t>
      </w:r>
    </w:p>
    <w:p w14:paraId="0C692BB6" w14:textId="77777777" w:rsidR="001F1F43" w:rsidRDefault="001922F5" w:rsidP="00165025">
      <w:pPr>
        <w:pStyle w:val="ListBullet"/>
      </w:pPr>
      <w:r>
        <w:t>Every company now needs a considered position on digital sovereignty, and a decision on whether that position is public. For regulated, government-facing or foreign-owned businesses, the question is no longer optional.</w:t>
      </w:r>
    </w:p>
    <w:p w14:paraId="39BE9F43" w14:textId="77777777" w:rsidR="001F1F43" w:rsidRDefault="001922F5" w:rsidP="00165025">
      <w:pPr>
        <w:pStyle w:val="ListBullet"/>
      </w:pPr>
      <w:r>
        <w:t>Sovereignty has moved from reputation into disclosure. AI governance is appearing in annual reports, investor expectations and RFPs, sitting alongside cyber and supply chain risk.</w:t>
      </w:r>
    </w:p>
    <w:p w14:paraId="60F0A561" w14:textId="77777777" w:rsidR="001F1F43" w:rsidRDefault="001922F5" w:rsidP="00165025">
      <w:pPr>
        <w:pStyle w:val="ListBullet"/>
      </w:pPr>
      <w:r>
        <w:t xml:space="preserve">Control matters more than location. A data </w:t>
      </w:r>
      <w:proofErr w:type="spellStart"/>
      <w:r>
        <w:t>centre</w:t>
      </w:r>
      <w:proofErr w:type="spellEnd"/>
      <w:r>
        <w:t xml:space="preserve"> in Europe run by a US operator can still fall under US law. Knowing who can compel access to data — and where economic value ultimately accrues — is the live governance question.</w:t>
      </w:r>
    </w:p>
    <w:p w14:paraId="0B05647D" w14:textId="77777777" w:rsidR="001F1F43" w:rsidRDefault="001922F5" w:rsidP="00165025">
      <w:pPr>
        <w:pStyle w:val="ListBullet"/>
      </w:pPr>
      <w:r>
        <w:t>Generative AI is itself a stakeholder. The systems that describe a company to buyers, journalists and regulators read published material literally, making clarity and verifiable evidence a reputational asset.</w:t>
      </w:r>
    </w:p>
    <w:p w14:paraId="68ECD89D" w14:textId="77777777" w:rsidR="001F1F43" w:rsidRDefault="001922F5">
      <w:pPr>
        <w:spacing w:before="360"/>
      </w:pPr>
      <w:r>
        <w:rPr>
          <w:color w:val="646464"/>
          <w:sz w:val="18"/>
        </w:rPr>
        <w:t>11 June 2026</w:t>
      </w:r>
    </w:p>
    <w:sectPr w:rsidR="001F1F43">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258FF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8D6756B"/>
    <w:multiLevelType w:val="hybridMultilevel"/>
    <w:tmpl w:val="A7B2E72C"/>
    <w:lvl w:ilvl="0" w:tplc="57B2B4B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DB1A5C"/>
    <w:multiLevelType w:val="hybridMultilevel"/>
    <w:tmpl w:val="A36E5F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702905"/>
    <w:multiLevelType w:val="hybridMultilevel"/>
    <w:tmpl w:val="D08AFD94"/>
    <w:lvl w:ilvl="0" w:tplc="57B2B4B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475A5B"/>
    <w:multiLevelType w:val="hybridMultilevel"/>
    <w:tmpl w:val="83281E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6" w15:restartNumberingAfterBreak="0">
    <w:nsid w:val="611B1F2D"/>
    <w:multiLevelType w:val="singleLevel"/>
    <w:tmpl w:val="0409000F"/>
    <w:lvl w:ilvl="0">
      <w:start w:val="1"/>
      <w:numFmt w:val="decimal"/>
      <w:lvlText w:val="%1."/>
      <w:lvlJc w:val="left"/>
      <w:pPr>
        <w:ind w:left="720" w:hanging="360"/>
      </w:pPr>
    </w:lvl>
  </w:abstractNum>
  <w:abstractNum w:abstractNumId="17" w15:restartNumberingAfterBreak="0">
    <w:nsid w:val="6CA53894"/>
    <w:multiLevelType w:val="singleLevel"/>
    <w:tmpl w:val="0409000F"/>
    <w:lvl w:ilvl="0">
      <w:start w:val="1"/>
      <w:numFmt w:val="decimal"/>
      <w:lvlText w:val="%1."/>
      <w:lvlJc w:val="left"/>
      <w:pPr>
        <w:ind w:left="720" w:hanging="360"/>
      </w:pPr>
    </w:lvl>
  </w:abstractNum>
  <w:abstractNum w:abstractNumId="18"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273904881">
    <w:abstractNumId w:val="18"/>
  </w:num>
  <w:num w:numId="2" w16cid:durableId="1416627709">
    <w:abstractNumId w:val="15"/>
  </w:num>
  <w:num w:numId="3" w16cid:durableId="1566836399">
    <w:abstractNumId w:val="6"/>
  </w:num>
  <w:num w:numId="4" w16cid:durableId="1567960367">
    <w:abstractNumId w:val="9"/>
  </w:num>
  <w:num w:numId="5" w16cid:durableId="1596161967">
    <w:abstractNumId w:val="13"/>
  </w:num>
  <w:num w:numId="6" w16cid:durableId="1651517433">
    <w:abstractNumId w:val="8"/>
  </w:num>
  <w:num w:numId="7" w16cid:durableId="1690519602">
    <w:abstractNumId w:val="4"/>
  </w:num>
  <w:num w:numId="8" w16cid:durableId="1730575300">
    <w:abstractNumId w:val="16"/>
  </w:num>
  <w:num w:numId="9" w16cid:durableId="1797212007">
    <w:abstractNumId w:val="2"/>
  </w:num>
  <w:num w:numId="10" w16cid:durableId="1976715822">
    <w:abstractNumId w:val="1"/>
  </w:num>
  <w:num w:numId="11" w16cid:durableId="1993868796">
    <w:abstractNumId w:val="3"/>
  </w:num>
  <w:num w:numId="12" w16cid:durableId="2008051873">
    <w:abstractNumId w:val="11"/>
  </w:num>
  <w:num w:numId="13" w16cid:durableId="2063938215">
    <w:abstractNumId w:val="19"/>
  </w:num>
  <w:num w:numId="14" w16cid:durableId="2110588750">
    <w:abstractNumId w:val="17"/>
  </w:num>
  <w:num w:numId="15" w16cid:durableId="2130321568">
    <w:abstractNumId w:val="12"/>
  </w:num>
  <w:num w:numId="16" w16cid:durableId="355926133">
    <w:abstractNumId w:val="0"/>
  </w:num>
  <w:num w:numId="17" w16cid:durableId="437330815">
    <w:abstractNumId w:val="10"/>
  </w:num>
  <w:num w:numId="18" w16cid:durableId="539632323">
    <w:abstractNumId w:val="14"/>
  </w:num>
  <w:num w:numId="19" w16cid:durableId="774254728">
    <w:abstractNumId w:val="5"/>
  </w:num>
  <w:num w:numId="20" w16cid:durableId="96659153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767F8"/>
    <w:rsid w:val="000F320F"/>
    <w:rsid w:val="00165025"/>
    <w:rsid w:val="001922F5"/>
    <w:rsid w:val="001A6967"/>
    <w:rsid w:val="001F1F43"/>
    <w:rsid w:val="001F35AF"/>
    <w:rsid w:val="001F40EA"/>
    <w:rsid w:val="002213E4"/>
    <w:rsid w:val="00223756"/>
    <w:rsid w:val="00261279"/>
    <w:rsid w:val="002E51AB"/>
    <w:rsid w:val="002F1D93"/>
    <w:rsid w:val="003073DE"/>
    <w:rsid w:val="003168DC"/>
    <w:rsid w:val="00324B44"/>
    <w:rsid w:val="0036562D"/>
    <w:rsid w:val="003857C1"/>
    <w:rsid w:val="003A63F6"/>
    <w:rsid w:val="003B2B05"/>
    <w:rsid w:val="0042475C"/>
    <w:rsid w:val="004976E0"/>
    <w:rsid w:val="00507D02"/>
    <w:rsid w:val="005A534A"/>
    <w:rsid w:val="005B73D0"/>
    <w:rsid w:val="005D490B"/>
    <w:rsid w:val="00613FB5"/>
    <w:rsid w:val="00667EFF"/>
    <w:rsid w:val="00683299"/>
    <w:rsid w:val="006C5F82"/>
    <w:rsid w:val="006E3CF2"/>
    <w:rsid w:val="006F79B7"/>
    <w:rsid w:val="00787CE8"/>
    <w:rsid w:val="007B0112"/>
    <w:rsid w:val="007B0673"/>
    <w:rsid w:val="007B0FD8"/>
    <w:rsid w:val="00827C87"/>
    <w:rsid w:val="0088600A"/>
    <w:rsid w:val="0089799A"/>
    <w:rsid w:val="008B2383"/>
    <w:rsid w:val="008D03FF"/>
    <w:rsid w:val="008F0D66"/>
    <w:rsid w:val="00907B8E"/>
    <w:rsid w:val="00916251"/>
    <w:rsid w:val="00925647"/>
    <w:rsid w:val="009678F0"/>
    <w:rsid w:val="009D3ACD"/>
    <w:rsid w:val="00A05BBC"/>
    <w:rsid w:val="00A20880"/>
    <w:rsid w:val="00A352C8"/>
    <w:rsid w:val="00A734EF"/>
    <w:rsid w:val="00B154B6"/>
    <w:rsid w:val="00B25677"/>
    <w:rsid w:val="00B41C2B"/>
    <w:rsid w:val="00B542F1"/>
    <w:rsid w:val="00B8093E"/>
    <w:rsid w:val="00BA1B6F"/>
    <w:rsid w:val="00C009E0"/>
    <w:rsid w:val="00C253A0"/>
    <w:rsid w:val="00C26D93"/>
    <w:rsid w:val="00C27141"/>
    <w:rsid w:val="00CE0CF7"/>
    <w:rsid w:val="00D32292"/>
    <w:rsid w:val="00D75435"/>
    <w:rsid w:val="00DA6C12"/>
    <w:rsid w:val="00DD5ABD"/>
    <w:rsid w:val="00DE5146"/>
    <w:rsid w:val="00DF2FBF"/>
    <w:rsid w:val="00E37A27"/>
    <w:rsid w:val="00F122E1"/>
    <w:rsid w:val="00F358A7"/>
    <w:rsid w:val="00F6745F"/>
    <w:rsid w:val="00FB3270"/>
    <w:rsid w:val="00FE36AB"/>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1CB808"/>
  <w15:chartTrackingRefBased/>
  <w15:docId w15:val="{008D6C56-315A-408F-891F-E0305E00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8B2383"/>
    <w:pPr>
      <w:spacing w:after="120" w:line="276" w:lineRule="auto"/>
    </w:pPr>
    <w:rPr>
      <w:rFonts w:ascii="Calibri" w:hAnsi="Calibri"/>
      <w:color w:val="000000"/>
      <w:sz w:val="21"/>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4"/>
      </w:numPr>
      <w:contextualSpacing/>
    </w:pPr>
  </w:style>
  <w:style w:type="paragraph" w:styleId="ListBullet2">
    <w:name w:val="List Bullet 2"/>
    <w:basedOn w:val="Normal"/>
    <w:uiPriority w:val="99"/>
    <w:unhideWhenUsed/>
    <w:rsid w:val="00827C87"/>
    <w:pPr>
      <w:numPr>
        <w:numId w:val="20"/>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19"/>
      </w:numPr>
      <w:contextualSpacing/>
    </w:pPr>
  </w:style>
  <w:style w:type="paragraph" w:styleId="ListBullet5">
    <w:name w:val="List Bullet 5"/>
    <w:basedOn w:val="Normal"/>
    <w:uiPriority w:val="99"/>
    <w:unhideWhenUsed/>
    <w:rsid w:val="00827C87"/>
    <w:pPr>
      <w:numPr>
        <w:numId w:val="7"/>
      </w:numPr>
      <w:contextualSpacing/>
    </w:pPr>
  </w:style>
  <w:style w:type="paragraph" w:styleId="ListContinue">
    <w:name w:val="List Continue"/>
    <w:basedOn w:val="Normal"/>
    <w:uiPriority w:val="99"/>
    <w:unhideWhenUsed/>
    <w:rsid w:val="00827C87"/>
    <w:pPr>
      <w:ind w:left="360"/>
      <w:contextualSpacing/>
    </w:pPr>
  </w:style>
  <w:style w:type="paragraph" w:styleId="ListContinue2">
    <w:name w:val="List Continue 2"/>
    <w:basedOn w:val="Normal"/>
    <w:uiPriority w:val="99"/>
    <w:unhideWhenUsed/>
    <w:rsid w:val="00827C87"/>
    <w:pPr>
      <w:ind w:left="720"/>
      <w:contextualSpacing/>
    </w:pPr>
  </w:style>
  <w:style w:type="paragraph" w:styleId="ListContinue3">
    <w:name w:val="List Continue 3"/>
    <w:basedOn w:val="Normal"/>
    <w:uiPriority w:val="99"/>
    <w:unhideWhenUsed/>
    <w:rsid w:val="00827C87"/>
    <w:pPr>
      <w:ind w:left="1080"/>
      <w:contextualSpacing/>
    </w:pPr>
  </w:style>
  <w:style w:type="paragraph" w:styleId="ListContinue4">
    <w:name w:val="List Continue 4"/>
    <w:basedOn w:val="Normal"/>
    <w:uiPriority w:val="99"/>
    <w:unhideWhenUsed/>
    <w:rsid w:val="00827C87"/>
    <w:pPr>
      <w:ind w:left="1440"/>
      <w:contextualSpacing/>
    </w:pPr>
  </w:style>
  <w:style w:type="paragraph" w:styleId="ListContinue5">
    <w:name w:val="List Continue 5"/>
    <w:basedOn w:val="Normal"/>
    <w:uiPriority w:val="99"/>
    <w:unhideWhenUsed/>
    <w:rsid w:val="00827C87"/>
    <w:pPr>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11"/>
      </w:numPr>
      <w:contextualSpacing/>
    </w:pPr>
  </w:style>
  <w:style w:type="paragraph" w:styleId="ListNumber3">
    <w:name w:val="List Number 3"/>
    <w:basedOn w:val="Normal"/>
    <w:uiPriority w:val="99"/>
    <w:unhideWhenUsed/>
    <w:rsid w:val="00827C87"/>
    <w:pPr>
      <w:numPr>
        <w:numId w:val="9"/>
      </w:numPr>
      <w:contextualSpacing/>
    </w:pPr>
  </w:style>
  <w:style w:type="paragraph" w:styleId="ListNumber4">
    <w:name w:val="List Number 4"/>
    <w:basedOn w:val="Normal"/>
    <w:uiPriority w:val="99"/>
    <w:unhideWhenUsed/>
    <w:rsid w:val="00827C87"/>
    <w:pPr>
      <w:numPr>
        <w:numId w:val="10"/>
      </w:numPr>
      <w:contextualSpacing/>
    </w:pPr>
  </w:style>
  <w:style w:type="paragraph" w:styleId="ListNumber5">
    <w:name w:val="List Number 5"/>
    <w:basedOn w:val="Normal"/>
    <w:uiPriority w:val="99"/>
    <w:unhideWhenUsed/>
    <w:rsid w:val="00827C87"/>
    <w:pPr>
      <w:numPr>
        <w:numId w:val="16"/>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Revision">
    <w:name w:val="Revision"/>
    <w:hidden/>
    <w:uiPriority w:val="99"/>
    <w:semiHidden/>
    <w:rsid w:val="001F35AF"/>
    <w:pPr>
      <w:spacing w:after="0" w:line="240" w:lineRule="auto"/>
    </w:pPr>
    <w:rPr>
      <w:rFonts w:ascii="Calibri" w:hAnsi="Calibri"/>
      <w:color w:val="000000"/>
      <w:sz w:val="21"/>
    </w:rPr>
  </w:style>
  <w:style w:type="character" w:styleId="CommentReference">
    <w:name w:val="annotation reference"/>
    <w:basedOn w:val="DefaultParagraphFont"/>
    <w:uiPriority w:val="99"/>
    <w:semiHidden/>
    <w:unhideWhenUsed/>
    <w:rsid w:val="0091625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ndon.gov.uk/mayor-sets-ambition-london-be-global-leader-green-data-centre-innovation-and-pledges-coordinated" TargetMode="External"/><Relationship Id="rId5" Type="http://schemas.openxmlformats.org/officeDocument/2006/relationships/hyperlink" Target="https://report.technation.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White</dc:creator>
  <cp:keywords/>
  <dc:description/>
  <cp:lastModifiedBy>Darren Armitage</cp:lastModifiedBy>
  <cp:revision>2</cp:revision>
  <dcterms:created xsi:type="dcterms:W3CDTF">2026-06-12T12:27:00Z</dcterms:created>
  <dcterms:modified xsi:type="dcterms:W3CDTF">2026-06-12T12:27:00Z</dcterms:modified>
</cp:coreProperties>
</file>