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Stake Keno — Probability, Multipliers &amp; Payout Analysis</w:t>
      </w:r>
    </w:p>
    <w:p>
      <w:pPr>
        <w:jc w:val="center"/>
      </w:pPr>
      <w:r>
        <w:rPr>
          <w:b/>
        </w:rPr>
        <w:t>Current public-game structure checked August 25, 2026</w:t>
      </w:r>
    </w:p>
    <w:p>
      <w:pPr>
        <w:pStyle w:val="ListBullet"/>
      </w:pPr>
      <w:r>
        <w:t>Game structure: choose 1–10 numbers from 1–40; 10 numbers are drawn without replacement.</w:t>
      </w:r>
    </w:p>
    <w:p>
      <w:pPr>
        <w:pStyle w:val="ListBullet"/>
      </w:pPr>
      <w:r>
        <w:t>Exact hit probability: P(k hits) = C(picks,k) × C(40−picks,10−k) / C(40,10).</w:t>
      </w:r>
    </w:p>
    <w:p>
      <w:pPr>
        <w:pStyle w:val="ListBullet"/>
      </w:pPr>
      <w:r>
        <w:t>Stake’s live page currently shows a 1.00% edge and four difficulties: Classic, Low, Medium, High.</w:t>
      </w:r>
    </w:p>
    <w:p>
      <w:pPr>
        <w:pStyle w:val="ListBullet"/>
      </w:pPr>
      <w:r>
        <w:t>Payout = bet × multiplier. Example: a 100-unit bet at 48x returns 4,800 units gross.</w:t>
      </w:r>
    </w:p>
    <w:p>
      <w:r>
        <w:rPr>
          <w:b/>
        </w:rPr>
        <w:t xml:space="preserve">Important source note: </w:t>
      </w:r>
      <w:r>
        <w:t>Stake’s public HTML confirms the game mechanics and risk modes but does not expose the complete Classic 1–10 multiplier matrix in text. The Low/Medium/High tables below are a cross-check reference from a current public Keno table whose exposed multipliers match Stake anchors (e.g. 5-pick 300x/390x/450x and High 3.96x/17.1x/81.5x/259x/450x). They are not presented as an official Stake data export. Classic is only shown where an exact public table value is available.</w:t>
      </w:r>
    </w:p>
    <w:p>
      <w:pPr>
        <w:pStyle w:val="Heading1"/>
      </w:pPr>
      <w:r>
        <w:t>1. Exact Probability by Pick Count</w:t>
      </w:r>
    </w:p>
    <w:p>
      <w:r>
        <w:t>The probability distribution is identical across Classic, Low, Medium and High because the difficulty changes payouts, not the draw mechanics.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Picks</w:t>
            </w:r>
          </w:p>
        </w:tc>
        <w:tc>
          <w:tcPr>
            <w:tcW w:type="dxa" w:w="311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Possible hits</w:t>
            </w:r>
          </w:p>
        </w:tc>
        <w:tc>
          <w:tcPr>
            <w:tcW w:type="dxa" w:w="311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Probability of full match</w:t>
            </w:r>
          </w:p>
        </w:tc>
        <w:tc>
          <w:tcPr>
            <w:tcW w:type="dxa" w:w="311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1-in full-match odds</w:t>
            </w:r>
          </w:p>
        </w:tc>
        <w:tc>
          <w:tcPr>
            <w:tcW w:type="dxa" w:w="311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Expected hits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0–1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25.0000%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 in 4.00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0–2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5.7692%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 in 17.33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0–3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1.2146%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 in 82.33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0.75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0–4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0.229784%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 in 435.19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0–5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0.038297%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 in 2,611.14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1.25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0–6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0.00547106%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 in 18,278.00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0–7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0.00064365%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 in 155,363.00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1.75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0–8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0.00005851%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 in 1,708,993.00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0–9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0.00000366%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 in 27,343,888.00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2.25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0–10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0.00000012%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 in 847,660,528.00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2.50</w:t>
            </w:r>
          </w:p>
        </w:tc>
      </w:tr>
    </w:tbl>
    <w:p>
      <w:r>
        <w:br w:type="page"/>
      </w:r>
    </w:p>
    <w:p>
      <w:pPr>
        <w:pStyle w:val="Heading1"/>
      </w:pPr>
      <w:r>
        <w:t>2. Classic Risk</w:t>
      </w:r>
    </w:p>
    <w:p>
      <w:r>
        <w:t>Exact public Stake multiplier values were found for 5 picks: 0x, 0.25x, 1.4x, 4.1x, 16.5x, 36x. Other Classic pick counts are marked NR rather than guessed.</w:t>
      </w:r>
    </w:p>
    <w:p>
      <w:pPr>
        <w:pStyle w:val="Heading2"/>
      </w:pPr>
      <w:r>
        <w:t>2. Classic Risk — 1 pick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0/1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75.0000%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1/1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25.0000%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</w:tbl>
    <w:p>
      <w:pPr>
        <w:pStyle w:val="IntenseQuote"/>
      </w:pPr>
      <w:r>
        <w:t>Multiplier matrix not publicly exposed for this pick count in the checked sources; probabilities are exact, payout cells are intentionally marked NR.</w:t>
      </w:r>
    </w:p>
    <w:p>
      <w:pPr>
        <w:pStyle w:val="Heading2"/>
      </w:pPr>
      <w:r>
        <w:t>2. Classic Risk — 2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0/2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55.7692%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38.4615%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2/2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5.7692%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</w:tbl>
    <w:p>
      <w:pPr>
        <w:pStyle w:val="IntenseQuote"/>
      </w:pPr>
      <w:r>
        <w:t>Multiplier matrix not publicly exposed for this pick count in the checked sources; probabilities are exact, payout cells are intentionally marked NR.</w:t>
      </w:r>
    </w:p>
    <w:p>
      <w:pPr>
        <w:pStyle w:val="Heading2"/>
      </w:pPr>
      <w:r>
        <w:t>2. Classic Risk — 3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41.0931%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44.0283%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13.6640%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1.2146%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</w:tbl>
    <w:p>
      <w:pPr>
        <w:pStyle w:val="IntenseQuote"/>
      </w:pPr>
      <w:r>
        <w:t>Multiplier matrix not publicly exposed for this pick count in the checked sources; probabilities are exact, payout cells are intentionally marked NR.</w:t>
      </w:r>
    </w:p>
    <w:p>
      <w:pPr>
        <w:pStyle w:val="Heading2"/>
      </w:pPr>
      <w:r>
        <w:t>2. Classic Risk — 4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29.9869%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44.4250%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21.4192%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3.9392%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0.229784%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</w:tbl>
    <w:p>
      <w:pPr>
        <w:pStyle w:val="IntenseQuote"/>
      </w:pPr>
      <w:r>
        <w:t>Multiplier matrix not publicly exposed for this pick count in the checked sources; probabilities are exact, payout cells are intentionally marked NR.</w:t>
      </w:r>
    </w:p>
    <w:p>
      <w:pPr>
        <w:pStyle w:val="Heading2"/>
      </w:pPr>
      <w:r>
        <w:t>2. Classic Risk — 5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21.6572%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41.6484%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0.25x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0.25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27.7656%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1.4x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7.9330%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4.1x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4.1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0.957435%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16.5x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1650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5/5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0.038297%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36x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3600</w:t>
            </w:r>
          </w:p>
        </w:tc>
      </w:tr>
    </w:tbl>
    <w:p>
      <w:pPr>
        <w:pStyle w:val="IntenseQuote"/>
      </w:pPr>
      <w:r>
        <w:t>Calculated expected return from this row: 98.986% RTP; house edge = 1.014%.</w:t>
      </w:r>
    </w:p>
    <w:p>
      <w:pPr>
        <w:pStyle w:val="Heading2"/>
      </w:pPr>
      <w:r>
        <w:t>2. Classic Risk — 6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15.4694%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37.1266%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32.1288%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12.6929%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2.3799%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0.196958%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0.00547106%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</w:tbl>
    <w:p>
      <w:pPr>
        <w:pStyle w:val="IntenseQuote"/>
      </w:pPr>
      <w:r>
        <w:t>Multiplier matrix not publicly exposed for this pick count in the checked sources; probabilities are exact, payout cells are intentionally marked NR.</w:t>
      </w:r>
    </w:p>
    <w:p>
      <w:pPr>
        <w:pStyle w:val="Heading2"/>
      </w:pPr>
      <w:r>
        <w:t>2. Classic Risk — 7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10.9196%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31.8488%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34.3967%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17.6393%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4.5732%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0.587978%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0.033792%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0.00064365%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</w:tbl>
    <w:p>
      <w:pPr>
        <w:pStyle w:val="IntenseQuote"/>
      </w:pPr>
      <w:r>
        <w:t>Multiplier matrix not publicly exposed for this pick count in the checked sources; probabilities are exact, payout cells are intentionally marked NR.</w:t>
      </w:r>
    </w:p>
    <w:p>
      <w:pPr>
        <w:pStyle w:val="Heading2"/>
      </w:pPr>
      <w:r>
        <w:t>2. Classic Risk — 8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7.6106%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26.4717%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34.7441%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22.2363%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7.4834%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1.3304%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0.118783%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0.00468112%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0.00005851%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</w:tbl>
    <w:p>
      <w:pPr>
        <w:pStyle w:val="IntenseQuote"/>
      </w:pPr>
      <w:r>
        <w:t>Multiplier matrix not publicly exposed for this pick count in the checked sources; probabilities are exact, payout cells are intentionally marked NR.</w:t>
      </w:r>
    </w:p>
    <w:p>
      <w:pPr>
        <w:pStyle w:val="Heading2"/>
      </w:pPr>
      <w:r>
        <w:t>2. Classic Risk — 9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5.2323%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21.4049%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33.5033%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26.0581%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10.9444%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2.5256%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0.311806%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0.019090%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0.00049371%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0.00000366%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</w:tbl>
    <w:p>
      <w:pPr>
        <w:pStyle w:val="IntenseQuote"/>
      </w:pPr>
      <w:r>
        <w:t>Multiplier matrix not publicly exposed for this pick count in the checked sources; probabilities are exact, payout cells are intentionally marked NR.</w:t>
      </w:r>
    </w:p>
    <w:p>
      <w:pPr>
        <w:pStyle w:val="Heading2"/>
      </w:pPr>
      <w:r>
        <w:t>2. Classic Risk — 10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3.5445%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16.8784%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31.0716%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28.8200%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14.7102%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4.2365%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0.678933%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0.057476%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0.00230930%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0.00003539%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0.00000012%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NR</w:t>
            </w:r>
          </w:p>
        </w:tc>
      </w:tr>
    </w:tbl>
    <w:p>
      <w:pPr>
        <w:pStyle w:val="IntenseQuote"/>
      </w:pPr>
      <w:r>
        <w:t>Multiplier matrix not publicly exposed for this pick count in the checked sources; probabilities are exact, payout cells are intentionally marked NR.</w:t>
      </w:r>
    </w:p>
    <w:p>
      <w:r>
        <w:br w:type="page"/>
      </w:r>
    </w:p>
    <w:p>
      <w:pPr>
        <w:pStyle w:val="Heading1"/>
      </w:pPr>
      <w:r>
        <w:t>3. Low Risk</w:t>
      </w:r>
    </w:p>
    <w:p>
      <w:r>
        <w:t>Reference payout matrix. Stake’s public page confirms Low is a distinct difficulty; the matrix below is a current public cross-check table.</w:t>
      </w:r>
    </w:p>
    <w:p>
      <w:pPr>
        <w:pStyle w:val="Heading2"/>
      </w:pPr>
      <w:r>
        <w:t>3. Low Risk — 1 pick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0/1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75.0000%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1/1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25.0000%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0.7x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70</w:t>
            </w:r>
          </w:p>
        </w:tc>
      </w:tr>
    </w:tbl>
    <w:p>
      <w:pPr>
        <w:pStyle w:val="IntenseQuote"/>
      </w:pPr>
      <w:r>
        <w:t>Calculated expected return from this row: 17.500% RTP; house edge = 82.500%.</w:t>
      </w:r>
    </w:p>
    <w:p>
      <w:pPr>
        <w:pStyle w:val="Heading2"/>
      </w:pPr>
      <w:r>
        <w:t>3. Low Risk — 2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0/2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55.7692%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38.4615%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2/2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5.7692%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3.8x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380</w:t>
            </w:r>
          </w:p>
        </w:tc>
      </w:tr>
    </w:tbl>
    <w:p>
      <w:pPr>
        <w:pStyle w:val="IntenseQuote"/>
      </w:pPr>
      <w:r>
        <w:t>Calculated expected return from this row: 98.846% RTP; house edge = 1.154%.</w:t>
      </w:r>
    </w:p>
    <w:p>
      <w:pPr>
        <w:pStyle w:val="Heading2"/>
      </w:pPr>
      <w:r>
        <w:t>3. Low Risk — 3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41.0931%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44.0283%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1.1x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1.1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13.6640%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1.38x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1.38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138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1.2146%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2600</w:t>
            </w:r>
          </w:p>
        </w:tc>
      </w:tr>
    </w:tbl>
    <w:p>
      <w:pPr>
        <w:pStyle w:val="IntenseQuote"/>
      </w:pPr>
      <w:r>
        <w:t>Calculated expected return from this row: 98.866% RTP; house edge = 1.134%.</w:t>
      </w:r>
    </w:p>
    <w:p>
      <w:pPr>
        <w:pStyle w:val="Heading2"/>
      </w:pPr>
      <w:r>
        <w:t>3. Low Risk — 4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29.9869%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44.4250%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21.4192%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2.2x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2.2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3.9392%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7.9x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7.9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790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0.229784%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9000</w:t>
            </w:r>
          </w:p>
        </w:tc>
      </w:tr>
    </w:tbl>
    <w:p>
      <w:pPr>
        <w:pStyle w:val="IntenseQuote"/>
      </w:pPr>
      <w:r>
        <w:t>Calculated expected return from this row: 98.922% RTP; house edge = 1.078%.</w:t>
      </w:r>
    </w:p>
    <w:p>
      <w:pPr>
        <w:pStyle w:val="Heading2"/>
      </w:pPr>
      <w:r>
        <w:t>3. Low Risk — 5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21.6572%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41.6484%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27.7656%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7.9330%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4.2x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4.2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0.957435%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5/5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0.038297%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30000</w:t>
            </w:r>
          </w:p>
        </w:tc>
      </w:tr>
    </w:tbl>
    <w:p>
      <w:pPr>
        <w:pStyle w:val="IntenseQuote"/>
      </w:pPr>
      <w:r>
        <w:t>Calculated expected return from this row: 98.903% RTP; house edge = 1.097%.</w:t>
      </w:r>
    </w:p>
    <w:p>
      <w:pPr>
        <w:pStyle w:val="Heading2"/>
      </w:pPr>
      <w:r>
        <w:t>3. Low Risk — 6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15.4694%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37.1266%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32.1288%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1.1x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1.1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12.6929%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2.3799%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6.2x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6.2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620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0.196958%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0.00547106%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70000</w:t>
            </w:r>
          </w:p>
        </w:tc>
      </w:tr>
    </w:tbl>
    <w:p>
      <w:pPr>
        <w:pStyle w:val="IntenseQuote"/>
      </w:pPr>
      <w:r>
        <w:t>Calculated expected return from this row: 99.008% RTP; house edge = 0.992%.</w:t>
      </w:r>
    </w:p>
    <w:p>
      <w:pPr>
        <w:pStyle w:val="Heading2"/>
      </w:pPr>
      <w:r>
        <w:t>3. Low Risk — 7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10.9196%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31.8488%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34.3967%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1.1x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1.1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17.6393%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1.6x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4.5732%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3.5x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0.587978%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0.033792%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225x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22500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0.00064365%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70000</w:t>
            </w:r>
          </w:p>
        </w:tc>
      </w:tr>
    </w:tbl>
    <w:p>
      <w:pPr>
        <w:pStyle w:val="IntenseQuote"/>
      </w:pPr>
      <w:r>
        <w:t>Calculated expected return from this row: 98.939% RTP; house edge = 1.061%.</w:t>
      </w:r>
    </w:p>
    <w:p>
      <w:pPr>
        <w:pStyle w:val="Heading2"/>
      </w:pPr>
      <w:r>
        <w:t>3. Low Risk — 8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7.6106%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26.4717%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34.7441%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1.1x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1.1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22.2363%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7.4834%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1.3304%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5.5x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5.5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550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0.118783%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39x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3900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0.00468112%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0.00005851%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80000</w:t>
            </w:r>
          </w:p>
        </w:tc>
      </w:tr>
    </w:tbl>
    <w:p>
      <w:pPr>
        <w:pStyle w:val="IntenseQuote"/>
      </w:pPr>
      <w:r>
        <w:t>Calculated expected return from this row: 99.004% RTP; house edge = 0.996%.</w:t>
      </w:r>
    </w:p>
    <w:p>
      <w:pPr>
        <w:pStyle w:val="Heading2"/>
      </w:pPr>
      <w:r>
        <w:t>3. Low Risk — 9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5.2323%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21.4049%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33.5033%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1.1x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1.1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26.0581%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1.3x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10.9444%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1.7x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2.5256%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2.5x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0.311806%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7.5x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7.5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750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0.019090%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0.00049371%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25000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0.00000366%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100000</w:t>
            </w:r>
          </w:p>
        </w:tc>
      </w:tr>
    </w:tbl>
    <w:p>
      <w:pPr>
        <w:pStyle w:val="IntenseQuote"/>
      </w:pPr>
      <w:r>
        <w:t>Calculated expected return from this row: 99.069% RTP; house edge = 0.931%.</w:t>
      </w:r>
    </w:p>
    <w:p>
      <w:pPr>
        <w:pStyle w:val="Heading2"/>
      </w:pPr>
      <w:r>
        <w:t>3. Low Risk — 10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3.5445%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16.8784%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31.0716%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1.1x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1.1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28.8200%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1.2x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1.2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14.7102%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1.3x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4.2365%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1.8x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0.678933%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3.5x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0.057476%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0.00230930%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0.00003539%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25000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0.00000012%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100000</w:t>
            </w:r>
          </w:p>
        </w:tc>
      </w:tr>
    </w:tbl>
    <w:p>
      <w:pPr>
        <w:pStyle w:val="IntenseQuote"/>
      </w:pPr>
      <w:r>
        <w:t>Calculated expected return from this row: 98.760% RTP; house edge = 1.240%.</w:t>
      </w:r>
    </w:p>
    <w:p>
      <w:r>
        <w:br w:type="page"/>
      </w:r>
    </w:p>
    <w:p>
      <w:pPr>
        <w:pStyle w:val="Heading1"/>
      </w:pPr>
      <w:r>
        <w:t>4. Medium Risk</w:t>
      </w:r>
    </w:p>
    <w:p>
      <w:r>
        <w:t>Reference payout matrix. The 5-pick row is independently corroborated by Stake community data: 1.4x, 4x, 14x, 390x at 2–5 hits.</w:t>
      </w:r>
    </w:p>
    <w:p>
      <w:pPr>
        <w:pStyle w:val="Heading2"/>
      </w:pPr>
      <w:r>
        <w:t>4. Medium Risk — 1 pick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0/1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75.0000%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1/1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25.0000%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0.4x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</w:t>
            </w:r>
          </w:p>
        </w:tc>
      </w:tr>
    </w:tbl>
    <w:p>
      <w:pPr>
        <w:pStyle w:val="IntenseQuote"/>
      </w:pPr>
      <w:r>
        <w:t>Calculated expected return from this row: 10.000% RTP; house edge = 90.000%.</w:t>
      </w:r>
    </w:p>
    <w:p>
      <w:pPr>
        <w:pStyle w:val="Heading2"/>
      </w:pPr>
      <w:r>
        <w:t>4. Medium Risk — 2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0/2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55.7692%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38.4615%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1.8x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2/2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5.7692%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5.1x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5.1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510</w:t>
            </w:r>
          </w:p>
        </w:tc>
      </w:tr>
    </w:tbl>
    <w:p>
      <w:pPr>
        <w:pStyle w:val="IntenseQuote"/>
      </w:pPr>
      <w:r>
        <w:t>Calculated expected return from this row: 98.654% RTP; house edge = 1.346%.</w:t>
      </w:r>
    </w:p>
    <w:p>
      <w:pPr>
        <w:pStyle w:val="Heading2"/>
      </w:pPr>
      <w:r>
        <w:t>4. Medium Risk — 3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41.0931%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44.0283%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13.6640%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2.8x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1.2146%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5000</w:t>
            </w:r>
          </w:p>
        </w:tc>
      </w:tr>
    </w:tbl>
    <w:p>
      <w:pPr>
        <w:pStyle w:val="IntenseQuote"/>
      </w:pPr>
      <w:r>
        <w:t>Calculated expected return from this row: 98.988% RTP; house edge = 1.012%.</w:t>
      </w:r>
    </w:p>
    <w:p>
      <w:pPr>
        <w:pStyle w:val="Heading2"/>
      </w:pPr>
      <w:r>
        <w:t>4. Medium Risk — 4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29.9869%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44.4250%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21.4192%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1.7x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3.9392%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0.229784%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10000</w:t>
            </w:r>
          </w:p>
        </w:tc>
      </w:tr>
    </w:tbl>
    <w:p>
      <w:pPr>
        <w:pStyle w:val="IntenseQuote"/>
      </w:pPr>
      <w:r>
        <w:t>Calculated expected return from this row: 98.783% RTP; house edge = 1.217%.</w:t>
      </w:r>
    </w:p>
    <w:p>
      <w:pPr>
        <w:pStyle w:val="Heading2"/>
      </w:pPr>
      <w:r>
        <w:t>4. Medium Risk — 5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21.6572%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41.6484%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27.7656%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1.4x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7.9330%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0.957435%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5/5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0.038297%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390x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39000</w:t>
            </w:r>
          </w:p>
        </w:tc>
      </w:tr>
    </w:tbl>
    <w:p>
      <w:pPr>
        <w:pStyle w:val="IntenseQuote"/>
      </w:pPr>
      <w:r>
        <w:t>Calculated expected return from this row: 98.944% RTP; house edge = 1.056%.</w:t>
      </w:r>
    </w:p>
    <w:p>
      <w:pPr>
        <w:pStyle w:val="Heading2"/>
      </w:pPr>
      <w:r>
        <w:t>4. Medium Risk — 6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15.4694%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37.1266%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32.1288%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12.6929%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2.3799%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0.196958%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18000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0.00547106%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710x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71000</w:t>
            </w:r>
          </w:p>
        </w:tc>
      </w:tr>
    </w:tbl>
    <w:p>
      <w:pPr>
        <w:pStyle w:val="IntenseQuote"/>
      </w:pPr>
      <w:r>
        <w:t>Calculated expected return from this row: 98.835% RTP; house edge = 1.165%.</w:t>
      </w:r>
    </w:p>
    <w:p>
      <w:pPr>
        <w:pStyle w:val="Heading2"/>
      </w:pPr>
      <w:r>
        <w:t>4. Medium Risk — 7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10.9196%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31.8488%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34.3967%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1.1x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1.1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17.6393%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4.5732%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0.587978%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0.033792%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40000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0.00064365%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80000</w:t>
            </w:r>
          </w:p>
        </w:tc>
      </w:tr>
    </w:tbl>
    <w:p>
      <w:pPr>
        <w:pStyle w:val="IntenseQuote"/>
      </w:pPr>
      <w:r>
        <w:t>Calculated expected return from this row: 136.798% RTP; house edge = -36.798%.</w:t>
      </w:r>
    </w:p>
    <w:p>
      <w:pPr>
        <w:pStyle w:val="Heading2"/>
      </w:pPr>
      <w:r>
        <w:t>4. Medium Risk — 8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7.6106%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26.4717%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34.7441%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22.2363%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7.4834%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1.3304%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0.118783%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67x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6700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0.00468112%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40000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0.00005851%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90000</w:t>
            </w:r>
          </w:p>
        </w:tc>
      </w:tr>
    </w:tbl>
    <w:p>
      <w:pPr>
        <w:pStyle w:val="IntenseQuote"/>
      </w:pPr>
      <w:r>
        <w:t>Calculated expected return from this row: 98.924% RTP; house edge = 1.076%.</w:t>
      </w:r>
    </w:p>
    <w:p>
      <w:pPr>
        <w:pStyle w:val="Heading2"/>
      </w:pPr>
      <w:r>
        <w:t>4. Medium Risk — 9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5.2323%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21.4049%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33.5033%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26.0581%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10.9444%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2.5x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2.5256%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0.311806%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0.019090%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0.00049371%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0.00000366%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100000</w:t>
            </w:r>
          </w:p>
        </w:tc>
      </w:tr>
    </w:tbl>
    <w:p>
      <w:pPr>
        <w:pStyle w:val="IntenseQuote"/>
      </w:pPr>
      <w:r>
        <w:t>Calculated expected return from this row: 98.942% RTP; house edge = 1.058%.</w:t>
      </w:r>
    </w:p>
    <w:p>
      <w:pPr>
        <w:pStyle w:val="Heading2"/>
      </w:pPr>
      <w:r>
        <w:t>4. Medium Risk — 10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3.5445%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16.8784%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31.0716%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28.8200%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1.6x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14.7102%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4.2365%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0.678933%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0.057476%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0.00230930%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0.00003539%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0.00000012%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100000</w:t>
            </w:r>
          </w:p>
        </w:tc>
      </w:tr>
    </w:tbl>
    <w:p>
      <w:pPr>
        <w:pStyle w:val="IntenseQuote"/>
      </w:pPr>
      <w:r>
        <w:t>Calculated expected return from this row: 98.974% RTP; house edge = 1.026%.</w:t>
      </w:r>
    </w:p>
    <w:p>
      <w:r>
        <w:br w:type="page"/>
      </w:r>
    </w:p>
    <w:p>
      <w:pPr>
        <w:pStyle w:val="Heading1"/>
      </w:pPr>
      <w:r>
        <w:t>5. High Risk</w:t>
      </w:r>
    </w:p>
    <w:p>
      <w:r>
        <w:t>Reference payout matrix. High-risk anchors are corroborated by current public Keno references: 1 pick 3.96x; 2 picks 17.1x; 3 picks 81.5x; 4 picks 259x; 5 picks 450x; 6 picks 710x; 7 picks 800x; 8–10 picks up to 1000x.</w:t>
      </w:r>
    </w:p>
    <w:p>
      <w:pPr>
        <w:pStyle w:val="Heading2"/>
      </w:pPr>
      <w:r>
        <w:t>5. High Risk — 1 pick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0/1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75.0000%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1/1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25.0000%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3.96x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3.96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396</w:t>
            </w:r>
          </w:p>
        </w:tc>
      </w:tr>
    </w:tbl>
    <w:p>
      <w:pPr>
        <w:pStyle w:val="IntenseQuote"/>
      </w:pPr>
      <w:r>
        <w:t>Calculated expected return from this row: 99.000% RTP; house edge = 1.000%.</w:t>
      </w:r>
    </w:p>
    <w:p>
      <w:pPr>
        <w:pStyle w:val="Heading2"/>
      </w:pPr>
      <w:r>
        <w:t>5. High Risk — 2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0/2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55.7692%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1/2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38.4615%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2/2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5.7692%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17.1x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17.1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1710</w:t>
            </w:r>
          </w:p>
        </w:tc>
      </w:tr>
    </w:tbl>
    <w:p>
      <w:pPr>
        <w:pStyle w:val="IntenseQuote"/>
      </w:pPr>
      <w:r>
        <w:t>Calculated expected return from this row: 98.654% RTP; house edge = 1.346%.</w:t>
      </w:r>
    </w:p>
    <w:p>
      <w:pPr>
        <w:pStyle w:val="Heading2"/>
      </w:pPr>
      <w:r>
        <w:t>5. High Risk — 3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41.0931%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44.0283%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13.6640%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1.2146%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81.5x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81.5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8150</w:t>
            </w:r>
          </w:p>
        </w:tc>
      </w:tr>
    </w:tbl>
    <w:p>
      <w:pPr>
        <w:pStyle w:val="IntenseQuote"/>
      </w:pPr>
      <w:r>
        <w:t>Calculated expected return from this row: 98.988% RTP; house edge = 1.012%.</w:t>
      </w:r>
    </w:p>
    <w:p>
      <w:pPr>
        <w:pStyle w:val="Heading2"/>
      </w:pPr>
      <w:r>
        <w:t>5. High Risk — 4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29.9869%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44.4250%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21.4192%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3.9392%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0.229784%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259x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25900</w:t>
            </w:r>
          </w:p>
        </w:tc>
      </w:tr>
    </w:tbl>
    <w:p>
      <w:pPr>
        <w:pStyle w:val="IntenseQuote"/>
      </w:pPr>
      <w:r>
        <w:t>Calculated expected return from this row: 98.906% RTP; house edge = 1.094%.</w:t>
      </w:r>
    </w:p>
    <w:p>
      <w:pPr>
        <w:pStyle w:val="Heading2"/>
      </w:pPr>
      <w:r>
        <w:t>5. High Risk — 5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21.6572%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41.6484%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27.7656%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7.9330%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4.5x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4.5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0.957435%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5/5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0.038297%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45000</w:t>
            </w:r>
          </w:p>
        </w:tc>
      </w:tr>
    </w:tbl>
    <w:p>
      <w:pPr>
        <w:pStyle w:val="IntenseQuote"/>
      </w:pPr>
      <w:r>
        <w:t>Calculated expected return from this row: 98.889% RTP; house edge = 1.111%.</w:t>
      </w:r>
    </w:p>
    <w:p>
      <w:pPr>
        <w:pStyle w:val="Heading2"/>
      </w:pPr>
      <w:r>
        <w:t>5. High Risk — 6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15.4694%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37.1266%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32.1288%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12.6929%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2.3799%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0.196958%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35000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6/6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0.00547106%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710x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71000</w:t>
            </w:r>
          </w:p>
        </w:tc>
      </w:tr>
    </w:tbl>
    <w:p>
      <w:pPr>
        <w:pStyle w:val="IntenseQuote"/>
      </w:pPr>
      <w:r>
        <w:t>Calculated expected return from this row: 98.999% RTP; house edge = 1.001%.</w:t>
      </w:r>
    </w:p>
    <w:p>
      <w:pPr>
        <w:pStyle w:val="Heading2"/>
      </w:pPr>
      <w:r>
        <w:t>5. High Risk — 7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10.9196%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31.8488%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34.3967%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17.6393%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4.5732%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0.587978%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0.033792%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40000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7/7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0.00064365%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80000</w:t>
            </w:r>
          </w:p>
        </w:tc>
      </w:tr>
    </w:tbl>
    <w:p>
      <w:pPr>
        <w:pStyle w:val="IntenseQuote"/>
      </w:pPr>
      <w:r>
        <w:t>Calculated expected return from this row: 98.962% RTP; house edge = 1.038%.</w:t>
      </w:r>
    </w:p>
    <w:p>
      <w:pPr>
        <w:pStyle w:val="Heading2"/>
      </w:pPr>
      <w:r>
        <w:t>5. High Risk — 8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7.6106%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26.4717%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34.7441%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22.2363%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7.4834%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1.3304%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0.118783%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27000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0.00468112%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60000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8/8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0.00005851%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90000</w:t>
            </w:r>
          </w:p>
        </w:tc>
      </w:tr>
    </w:tbl>
    <w:p>
      <w:pPr>
        <w:pStyle w:val="IntenseQuote"/>
      </w:pPr>
      <w:r>
        <w:t>Calculated expected return from this row: 98.957% RTP; house edge = 1.043%.</w:t>
      </w:r>
    </w:p>
    <w:p>
      <w:pPr>
        <w:pStyle w:val="Heading2"/>
      </w:pPr>
      <w:r>
        <w:t>5. High Risk — 9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5.2323%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21.4049%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33.5033%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26.0581%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10.9444%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2.5256%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0.311806%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56x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5600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0.019090%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0.00049371%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80000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9/9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0.00000366%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100000</w:t>
            </w:r>
          </w:p>
        </w:tc>
      </w:tr>
    </w:tbl>
    <w:p>
      <w:pPr>
        <w:pStyle w:val="IntenseQuote"/>
      </w:pPr>
      <w:r>
        <w:t>Calculated expected return from this row: 98.964% RTP; house edge = 1.036%.</w:t>
      </w:r>
    </w:p>
    <w:p>
      <w:pPr>
        <w:pStyle w:val="Heading2"/>
      </w:pPr>
      <w:r>
        <w:t>5. High Risk — 10 picks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Hits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Probability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Multiplier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 unit</w:t>
            </w:r>
          </w:p>
        </w:tc>
        <w:tc>
          <w:tcPr>
            <w:tcW w:type="dxa" w:w="3110"/>
            <w:vAlign w:val="center"/>
            <w:shd w:fill="E7F3E7"/>
          </w:tcPr>
          <w:p>
            <w:pPr>
              <w:jc w:val="center"/>
            </w:pPr>
            <w:r/>
            <w:r>
              <w:rPr>
                <w:b/>
                <w:sz w:val="14"/>
              </w:rPr>
              <w:t>Gross payout @ 100 units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3.5445%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16.8784%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31.0716%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28.8200%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14.7102%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3.5x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4.2365%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0.678933%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0.057476%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63x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6300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0.00230930%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0.00003539%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80000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10/10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0.00000012%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100000</w:t>
            </w:r>
          </w:p>
        </w:tc>
      </w:tr>
    </w:tbl>
    <w:p>
      <w:pPr>
        <w:pStyle w:val="IntenseQuote"/>
      </w:pPr>
      <w:r>
        <w:t>Calculated expected return from this row: 99.008% RTP; house edge = 0.992%.</w:t>
      </w:r>
    </w:p>
    <w:p>
      <w:r>
        <w:br w:type="page"/>
      </w:r>
    </w:p>
    <w:p>
      <w:pPr>
        <w:pStyle w:val="Heading1"/>
      </w:pPr>
      <w:r>
        <w:t>6. Cross-Mode Maximum Multipliers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311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Picks</w:t>
            </w:r>
          </w:p>
        </w:tc>
        <w:tc>
          <w:tcPr>
            <w:tcW w:type="dxa" w:w="311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Classic</w:t>
            </w:r>
          </w:p>
        </w:tc>
        <w:tc>
          <w:tcPr>
            <w:tcW w:type="dxa" w:w="311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Low</w:t>
            </w:r>
          </w:p>
        </w:tc>
        <w:tc>
          <w:tcPr>
            <w:tcW w:type="dxa" w:w="311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Medium</w:t>
            </w:r>
          </w:p>
        </w:tc>
        <w:tc>
          <w:tcPr>
            <w:tcW w:type="dxa" w:w="311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High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3.96x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0.7x*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0.4x*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3.96x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4.5x*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3.8x*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5.1x*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17.1x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10x*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26x*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50x*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81.5x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23x*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90x*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100x*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259x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450x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710x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710x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800x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900x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1000x</w:t>
            </w:r>
          </w:p>
        </w:tc>
      </w:tr>
      <w:tr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NR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1000x</w:t>
            </w:r>
          </w:p>
        </w:tc>
        <w:tc>
          <w:tcPr>
            <w:tcW w:type="dxa" w:w="311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1000x</w:t>
            </w:r>
          </w:p>
        </w:tc>
      </w:tr>
    </w:tbl>
    <w:p>
      <w:r>
        <w:t>* Cross-mode cells marked with * come from the public reference matrix, not directly from Stake’s public HTML export.</w:t>
      </w:r>
    </w:p>
    <w:p>
      <w:pPr>
        <w:pStyle w:val="Heading1"/>
      </w:pPr>
      <w:r>
        <w:t>7. Payout Calculation Examples</w:t>
      </w:r>
    </w:p>
    <w:p>
      <w:pPr>
        <w:pStyle w:val="ListBullet"/>
      </w:pPr>
      <w:r>
        <w:t>100-unit bet at 4.5x = 450 units gross payout.</w:t>
      </w:r>
    </w:p>
    <w:p>
      <w:pPr>
        <w:pStyle w:val="ListBullet"/>
      </w:pPr>
      <w:r>
        <w:t>100-unit bet at 48x = 4,800 units gross payout.</w:t>
      </w:r>
    </w:p>
    <w:p>
      <w:pPr>
        <w:pStyle w:val="ListBullet"/>
      </w:pPr>
      <w:r>
        <w:t>100-unit bet at 450x = 45,000 units gross payout.</w:t>
      </w:r>
    </w:p>
    <w:p>
      <w:pPr>
        <w:pStyle w:val="ListBullet"/>
      </w:pPr>
      <w:r>
        <w:t>100-unit bet at 1000x = 100,000 units gross payout.</w:t>
      </w:r>
    </w:p>
    <w:p>
      <w:pPr>
        <w:pStyle w:val="Heading1"/>
      </w:pPr>
      <w:r>
        <w:t>8. Mathematical Interpretation</w:t>
      </w:r>
    </w:p>
    <w:p>
      <w:r>
        <w:t>For a fixed pick count, every hit probability is fixed by the hypergeometric distribution. Changing Classic/Low/Medium/High does not make a number more or less likely to be drawn; it only reallocates expected return between partial-hit outcomes and rare high-hit outcomes.</w:t>
      </w:r>
    </w:p>
    <w:p>
      <w:r>
        <w:t>The exact full-match probabilities are especially useful when evaluating max-win exposure. For example, 10/10 has probability 1 / 8,911,711.2 approximately, while 5/5 is around 1 / 2,610.6.</w:t>
      </w:r>
    </w:p>
    <w:p>
      <w:pPr>
        <w:pStyle w:val="Heading1"/>
      </w:pPr>
      <w:r>
        <w:t>9. Sources Checked</w:t>
      </w:r>
    </w:p>
    <w:p>
      <w:pPr>
        <w:pStyle w:val="ListBullet"/>
      </w:pPr>
      <w:r>
        <w:t>Stake Keno game page: https://stake.com/casino/games/keno</w:t>
      </w:r>
    </w:p>
    <w:p>
      <w:pPr>
        <w:pStyle w:val="ListBullet"/>
      </w:pPr>
      <w:r>
        <w:t>Stake Keno guide: https://stake.com/blog/how-to-play-keno-on-stake</w:t>
      </w:r>
    </w:p>
    <w:p>
      <w:pPr>
        <w:pStyle w:val="ListBullet"/>
      </w:pPr>
      <w:r>
        <w:t>Stake provably-fair Keno event description: https://stake.com/provably-fair/game-events</w:t>
      </w:r>
    </w:p>
    <w:p>
      <w:pPr>
        <w:pStyle w:val="ListBullet"/>
      </w:pPr>
      <w:r>
        <w:t>Stake Analyzer Keno payout/strategy references (used for cross-checking exposed multiplier anchors).</w:t>
      </w:r>
    </w:p>
    <w:p>
      <w:pPr>
        <w:pStyle w:val="ListBullet"/>
      </w:pPr>
      <w:r>
        <w:t>Wolfbet Keno reference table (used only as a public cross-check matrix for Low/Medium/High).</w:t>
      </w:r>
    </w:p>
    <w:sectPr w:rsidR="00FC693F" w:rsidRPr="0006063C" w:rsidSect="00034616">
      <w:footerReference w:type="default" r:id="rId9"/>
      <w:pgSz w:w="16848" w:h="11952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Stake Keno probability &amp; payout analysis | 25 Aug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