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Arial" w:cs="Arial" w:eastAsia="Arial" w:hAnsi="Arial"/>
          <w:b/>
          <w:bCs/>
          <w:color w:val="1B4F72"/>
          <w:sz w:val="56"/>
          <w:szCs w:val="56"/>
        </w:rPr>
        <w:t xml:space="preserve">MCBB 3.0 — AWS LAB BUILD</w:t>
      </w:r>
    </w:p>
    <w:p>
      <w:pPr>
        <w:spacing w:after="200"/>
        <w:jc w:val="center"/>
      </w:pPr>
      <w:r>
        <w:rPr>
          <w:rFonts w:ascii="Arial" w:cs="Arial" w:eastAsia="Arial" w:hAnsi="Arial"/>
          <w:color w:val="2E86C1"/>
          <w:sz w:val="32"/>
          <w:szCs w:val="32"/>
        </w:rPr>
        <w:t xml:space="preserve">Confluence Knowledge Base Content</w:t>
      </w:r>
    </w:p>
    <w:p/>
    <w:p>
      <w:pPr>
        <w:spacing w:after="100"/>
        <w:jc w:val="center"/>
      </w:pPr>
      <w:r>
        <w:rPr>
          <w:rFonts w:ascii="Arial" w:cs="Arial" w:eastAsia="Arial" w:hAnsi="Arial"/>
          <w:color w:val="666666"/>
          <w:sz w:val="24"/>
          <w:szCs w:val="24"/>
        </w:rPr>
        <w:t xml:space="preserve">Fiserv — Multi-Cloud Backbone Project</w:t>
      </w:r>
    </w:p>
    <w:p>
      <w:pPr>
        <w:spacing w:after="100"/>
        <w:jc w:val="center"/>
      </w:pPr>
      <w:r>
        <w:rPr>
          <w:rFonts w:ascii="Arial" w:cs="Arial" w:eastAsia="Arial" w:hAnsi="Arial"/>
          <w:color w:val="666666"/>
          <w:sz w:val="24"/>
          <w:szCs w:val="24"/>
        </w:rPr>
        <w:t xml:space="preserve">World Wide Technology — Cloud Network Engineering</w:t>
      </w:r>
    </w:p>
    <w:p>
      <w:pPr>
        <w:jc w:val="center"/>
      </w:pPr>
      <w:r>
        <w:rPr>
          <w:rFonts w:ascii="Arial" w:cs="Arial" w:eastAsia="Arial" w:hAnsi="Arial"/>
          <w:color w:val="999999"/>
          <w:sz w:val="22"/>
          <w:szCs w:val="22"/>
        </w:rPr>
        <w:t xml:space="preserve">March 2026</w:t>
      </w:r>
    </w:p>
    <w:p>
      <w:r>
        <w:br w:type="page"/>
      </w:r>
    </w:p>
    <w:p>
      <w:pPr>
        <w:pStyle w:val="Heading1"/>
        <w:spacing w:after="120" w:before="360"/>
      </w:pPr>
      <w:r>
        <w:rPr>
          <w:rFonts w:ascii="Arial" w:cs="Arial" w:eastAsia="Arial" w:hAnsi="Arial"/>
          <w:b/>
          <w:bCs/>
          <w:sz w:val="32"/>
          <w:szCs w:val="32"/>
        </w:rPr>
        <w:t xml:space="preserve">Table of Contents</w:t>
      </w:r>
    </w:p>
    <w:p/>
    <w:p>
      <w:pPr>
        <w:spacing w:after="60"/>
        <w:ind w:left="0"/>
      </w:pPr>
      <w:r>
        <w:rPr>
          <w:rFonts w:ascii="Arial" w:cs="Arial" w:eastAsia="Arial" w:hAnsi="Arial"/>
          <w:b/>
          <w:bCs/>
          <w:color w:val="2E86C1"/>
          <w:sz w:val="22"/>
          <w:szCs w:val="22"/>
        </w:rPr>
        <w:t xml:space="preserve">1.  AWS Cloud WAN Terminology &amp; Concepts</w:t>
      </w:r>
    </w:p>
    <w:p>
      <w:pPr>
        <w:spacing w:after="60"/>
        <w:ind w:left="360"/>
      </w:pPr>
      <w:r>
        <w:rPr>
          <w:rFonts w:ascii="Arial" w:cs="Arial" w:eastAsia="Arial" w:hAnsi="Arial"/>
          <w:b w:val="false"/>
          <w:bCs w:val="false"/>
          <w:color w:val="2E86C1"/>
          <w:sz w:val="20"/>
          <w:szCs w:val="20"/>
        </w:rPr>
        <w:t xml:space="preserve">1.1  Core Components</w:t>
      </w:r>
    </w:p>
    <w:p>
      <w:pPr>
        <w:spacing w:after="60"/>
        <w:ind w:left="360"/>
      </w:pPr>
      <w:r>
        <w:rPr>
          <w:rFonts w:ascii="Arial" w:cs="Arial" w:eastAsia="Arial" w:hAnsi="Arial"/>
          <w:b w:val="false"/>
          <w:bCs w:val="false"/>
          <w:color w:val="2E86C1"/>
          <w:sz w:val="20"/>
          <w:szCs w:val="20"/>
        </w:rPr>
        <w:t xml:space="preserve">1.2  Policy Actions &amp; Routing Constructs</w:t>
      </w:r>
    </w:p>
    <w:p>
      <w:pPr>
        <w:spacing w:after="60"/>
        <w:ind w:left="0"/>
      </w:pPr>
      <w:r>
        <w:rPr>
          <w:rFonts w:ascii="Arial" w:cs="Arial" w:eastAsia="Arial" w:hAnsi="Arial"/>
          <w:b/>
          <w:bCs/>
          <w:color w:val="2E86C1"/>
          <w:sz w:val="22"/>
          <w:szCs w:val="22"/>
        </w:rPr>
        <w:t xml:space="preserve">2.  LAB Overview &amp; Objectives</w:t>
      </w:r>
    </w:p>
    <w:p>
      <w:pPr>
        <w:spacing w:after="60"/>
        <w:ind w:left="360"/>
      </w:pPr>
      <w:r>
        <w:rPr>
          <w:rFonts w:ascii="Arial" w:cs="Arial" w:eastAsia="Arial" w:hAnsi="Arial"/>
          <w:b w:val="false"/>
          <w:bCs w:val="false"/>
          <w:color w:val="2E86C1"/>
          <w:sz w:val="20"/>
          <w:szCs w:val="20"/>
        </w:rPr>
        <w:t xml:space="preserve">2.1  Purpose</w:t>
      </w:r>
    </w:p>
    <w:p>
      <w:pPr>
        <w:spacing w:after="60"/>
        <w:ind w:left="360"/>
      </w:pPr>
      <w:r>
        <w:rPr>
          <w:rFonts w:ascii="Arial" w:cs="Arial" w:eastAsia="Arial" w:hAnsi="Arial"/>
          <w:b w:val="false"/>
          <w:bCs w:val="false"/>
          <w:color w:val="2E86C1"/>
          <w:sz w:val="20"/>
          <w:szCs w:val="20"/>
        </w:rPr>
        <w:t xml:space="preserve">2.2  Scope</w:t>
      </w:r>
    </w:p>
    <w:p>
      <w:pPr>
        <w:spacing w:after="60"/>
        <w:ind w:left="360"/>
      </w:pPr>
      <w:r>
        <w:rPr>
          <w:rFonts w:ascii="Arial" w:cs="Arial" w:eastAsia="Arial" w:hAnsi="Arial"/>
          <w:b w:val="false"/>
          <w:bCs w:val="false"/>
          <w:color w:val="2E86C1"/>
          <w:sz w:val="20"/>
          <w:szCs w:val="20"/>
        </w:rPr>
        <w:t xml:space="preserve">2.3  Out of Scope</w:t>
      </w:r>
    </w:p>
    <w:p>
      <w:pPr>
        <w:spacing w:after="60"/>
        <w:ind w:left="360"/>
      </w:pPr>
      <w:r>
        <w:rPr>
          <w:rFonts w:ascii="Arial" w:cs="Arial" w:eastAsia="Arial" w:hAnsi="Arial"/>
          <w:b w:val="false"/>
          <w:bCs w:val="false"/>
          <w:color w:val="2E86C1"/>
          <w:sz w:val="20"/>
          <w:szCs w:val="20"/>
        </w:rPr>
        <w:t xml:space="preserve">2.4  Key Design Change: Versa Removal</w:t>
      </w:r>
    </w:p>
    <w:p>
      <w:pPr>
        <w:spacing w:after="60"/>
        <w:ind w:left="360"/>
      </w:pPr>
      <w:r>
        <w:rPr>
          <w:rFonts w:ascii="Arial" w:cs="Arial" w:eastAsia="Arial" w:hAnsi="Arial"/>
          <w:b w:val="false"/>
          <w:bCs w:val="false"/>
          <w:color w:val="2E86C1"/>
          <w:sz w:val="20"/>
          <w:szCs w:val="20"/>
        </w:rPr>
        <w:t xml:space="preserve">2.5  Inspection VPC Architecture</w:t>
      </w:r>
    </w:p>
    <w:p>
      <w:pPr>
        <w:spacing w:after="60"/>
        <w:ind w:left="0"/>
      </w:pPr>
      <w:r>
        <w:rPr>
          <w:rFonts w:ascii="Arial" w:cs="Arial" w:eastAsia="Arial" w:hAnsi="Arial"/>
          <w:b/>
          <w:bCs/>
          <w:color w:val="2E86C1"/>
          <w:sz w:val="22"/>
          <w:szCs w:val="22"/>
        </w:rPr>
        <w:t xml:space="preserve">3.  LAB Topology &amp; Network Diagrams</w:t>
      </w:r>
    </w:p>
    <w:p>
      <w:pPr>
        <w:spacing w:after="60"/>
        <w:ind w:left="360"/>
      </w:pPr>
      <w:r>
        <w:rPr>
          <w:rFonts w:ascii="Arial" w:cs="Arial" w:eastAsia="Arial" w:hAnsi="Arial"/>
          <w:b w:val="false"/>
          <w:bCs w:val="false"/>
          <w:color w:val="2E86C1"/>
          <w:sz w:val="20"/>
          <w:szCs w:val="20"/>
        </w:rPr>
        <w:t xml:space="preserve">3.1  Lab Region Selection</w:t>
      </w:r>
    </w:p>
    <w:p>
      <w:pPr>
        <w:spacing w:after="60"/>
        <w:ind w:left="360"/>
      </w:pPr>
      <w:r>
        <w:rPr>
          <w:rFonts w:ascii="Arial" w:cs="Arial" w:eastAsia="Arial" w:hAnsi="Arial"/>
          <w:b w:val="false"/>
          <w:bCs w:val="false"/>
          <w:color w:val="2E86C1"/>
          <w:sz w:val="20"/>
          <w:szCs w:val="20"/>
        </w:rPr>
        <w:t xml:space="preserve">3.2  VPC Architecture Per Region</w:t>
      </w:r>
    </w:p>
    <w:p>
      <w:pPr>
        <w:spacing w:after="60"/>
        <w:ind w:left="360"/>
      </w:pPr>
      <w:r>
        <w:rPr>
          <w:rFonts w:ascii="Arial" w:cs="Arial" w:eastAsia="Arial" w:hAnsi="Arial"/>
          <w:b w:val="false"/>
          <w:bCs w:val="false"/>
          <w:color w:val="2E86C1"/>
          <w:sz w:val="20"/>
          <w:szCs w:val="20"/>
        </w:rPr>
        <w:t xml:space="preserve">3.3  High-Level Lab Topology</w:t>
      </w:r>
    </w:p>
    <w:p>
      <w:pPr>
        <w:spacing w:after="60"/>
        <w:ind w:left="0"/>
      </w:pPr>
      <w:r>
        <w:rPr>
          <w:rFonts w:ascii="Arial" w:cs="Arial" w:eastAsia="Arial" w:hAnsi="Arial"/>
          <w:b/>
          <w:bCs/>
          <w:color w:val="2E86C1"/>
          <w:sz w:val="22"/>
          <w:szCs w:val="22"/>
        </w:rPr>
        <w:t xml:space="preserve">4.  Resource Inventory</w:t>
      </w:r>
    </w:p>
    <w:p>
      <w:pPr>
        <w:spacing w:after="60"/>
        <w:ind w:left="360"/>
      </w:pPr>
      <w:r>
        <w:rPr>
          <w:rFonts w:ascii="Arial" w:cs="Arial" w:eastAsia="Arial" w:hAnsi="Arial"/>
          <w:b w:val="false"/>
          <w:bCs w:val="false"/>
          <w:color w:val="2E86C1"/>
          <w:sz w:val="20"/>
          <w:szCs w:val="20"/>
        </w:rPr>
        <w:t xml:space="preserve">4.1  CNE Attachments</w:t>
      </w:r>
    </w:p>
    <w:p>
      <w:pPr>
        <w:spacing w:after="60"/>
        <w:ind w:left="360"/>
      </w:pPr>
      <w:r>
        <w:rPr>
          <w:rFonts w:ascii="Arial" w:cs="Arial" w:eastAsia="Arial" w:hAnsi="Arial"/>
          <w:b w:val="false"/>
          <w:bCs w:val="false"/>
          <w:color w:val="2E86C1"/>
          <w:sz w:val="20"/>
          <w:szCs w:val="20"/>
        </w:rPr>
        <w:t xml:space="preserve">4.2  VPC &amp; Inspection Resources</w:t>
      </w:r>
    </w:p>
    <w:p>
      <w:pPr>
        <w:spacing w:after="60"/>
        <w:ind w:left="360"/>
      </w:pPr>
      <w:r>
        <w:rPr>
          <w:rFonts w:ascii="Arial" w:cs="Arial" w:eastAsia="Arial" w:hAnsi="Arial"/>
          <w:b w:val="false"/>
          <w:bCs w:val="false"/>
          <w:color w:val="2E86C1"/>
          <w:sz w:val="20"/>
          <w:szCs w:val="20"/>
        </w:rPr>
        <w:t xml:space="preserve">4.3  DXGW, Direct Connect &amp; Megaport</w:t>
      </w:r>
    </w:p>
    <w:p>
      <w:pPr>
        <w:spacing w:after="60"/>
        <w:ind w:left="0"/>
      </w:pPr>
      <w:r>
        <w:rPr>
          <w:rFonts w:ascii="Arial" w:cs="Arial" w:eastAsia="Arial" w:hAnsi="Arial"/>
          <w:b/>
          <w:bCs/>
          <w:color w:val="2E86C1"/>
          <w:sz w:val="22"/>
          <w:szCs w:val="22"/>
        </w:rPr>
        <w:t xml:space="preserve">5.  BGP Community Tagging &amp; Route Propagation</w:t>
      </w:r>
    </w:p>
    <w:p>
      <w:pPr>
        <w:spacing w:after="60"/>
        <w:ind w:left="360"/>
      </w:pPr>
      <w:r>
        <w:rPr>
          <w:rFonts w:ascii="Arial" w:cs="Arial" w:eastAsia="Arial" w:hAnsi="Arial"/>
          <w:b w:val="false"/>
          <w:bCs w:val="false"/>
          <w:color w:val="2E86C1"/>
          <w:sz w:val="20"/>
          <w:szCs w:val="20"/>
        </w:rPr>
        <w:t xml:space="preserve">5.1  BGP Community Tagging Plan</w:t>
      </w:r>
    </w:p>
    <w:p>
      <w:pPr>
        <w:spacing w:after="60"/>
        <w:ind w:left="360"/>
      </w:pPr>
      <w:r>
        <w:rPr>
          <w:rFonts w:ascii="Arial" w:cs="Arial" w:eastAsia="Arial" w:hAnsi="Arial"/>
          <w:b w:val="false"/>
          <w:bCs w:val="false"/>
          <w:color w:val="2E86C1"/>
          <w:sz w:val="20"/>
          <w:szCs w:val="20"/>
        </w:rPr>
        <w:t xml:space="preserve">5.2  Route Propagation Rules</w:t>
      </w:r>
    </w:p>
    <w:p>
      <w:pPr>
        <w:spacing w:after="60"/>
        <w:ind w:left="0"/>
      </w:pPr>
      <w:r>
        <w:rPr>
          <w:rFonts w:ascii="Arial" w:cs="Arial" w:eastAsia="Arial" w:hAnsi="Arial"/>
          <w:b/>
          <w:bCs/>
          <w:color w:val="2E86C1"/>
          <w:sz w:val="22"/>
          <w:szCs w:val="22"/>
        </w:rPr>
        <w:t xml:space="preserve">6.  Infrastructure as Code / Terraform</w:t>
      </w:r>
    </w:p>
    <w:p>
      <w:pPr>
        <w:spacing w:after="60"/>
        <w:ind w:left="0"/>
      </w:pPr>
      <w:r>
        <w:rPr>
          <w:rFonts w:ascii="Arial" w:cs="Arial" w:eastAsia="Arial" w:hAnsi="Arial"/>
          <w:b/>
          <w:bCs/>
          <w:color w:val="2E86C1"/>
          <w:sz w:val="22"/>
          <w:szCs w:val="22"/>
        </w:rPr>
        <w:t xml:space="preserve">7.  Phased Deployment Runbook</w:t>
      </w:r>
    </w:p>
    <w:p>
      <w:pPr>
        <w:spacing w:after="60"/>
        <w:ind w:left="360"/>
      </w:pPr>
      <w:r>
        <w:rPr>
          <w:rFonts w:ascii="Arial" w:cs="Arial" w:eastAsia="Arial" w:hAnsi="Arial"/>
          <w:b w:val="false"/>
          <w:bCs w:val="false"/>
          <w:color w:val="2E86C1"/>
          <w:sz w:val="20"/>
          <w:szCs w:val="20"/>
        </w:rPr>
        <w:t xml:space="preserve">7.1  Phase 1: C-WAN Core Network &amp; Segments</w:t>
      </w:r>
    </w:p>
    <w:p>
      <w:pPr>
        <w:spacing w:after="60"/>
        <w:ind w:left="360"/>
      </w:pPr>
      <w:r>
        <w:rPr>
          <w:rFonts w:ascii="Arial" w:cs="Arial" w:eastAsia="Arial" w:hAnsi="Arial"/>
          <w:b w:val="false"/>
          <w:bCs w:val="false"/>
          <w:color w:val="2E86C1"/>
          <w:sz w:val="20"/>
          <w:szCs w:val="20"/>
        </w:rPr>
        <w:t xml:space="preserve">7.2  Phase 2: VPC Deployment &amp; Intra-Region Routing</w:t>
      </w:r>
    </w:p>
    <w:p>
      <w:pPr>
        <w:spacing w:after="60"/>
        <w:ind w:left="360"/>
      </w:pPr>
      <w:r>
        <w:rPr>
          <w:rFonts w:ascii="Arial" w:cs="Arial" w:eastAsia="Arial" w:hAnsi="Arial"/>
          <w:b w:val="false"/>
          <w:bCs w:val="false"/>
          <w:color w:val="2E86C1"/>
          <w:sz w:val="20"/>
          <w:szCs w:val="20"/>
        </w:rPr>
        <w:t xml:space="preserve">7.3  Phase 3: Cross-Region C-WAN Routing</w:t>
      </w:r>
    </w:p>
    <w:p>
      <w:pPr>
        <w:spacing w:after="60"/>
        <w:ind w:left="360"/>
      </w:pPr>
      <w:r>
        <w:rPr>
          <w:rFonts w:ascii="Arial" w:cs="Arial" w:eastAsia="Arial" w:hAnsi="Arial"/>
          <w:b w:val="false"/>
          <w:bCs w:val="false"/>
          <w:color w:val="2E86C1"/>
          <w:sz w:val="20"/>
          <w:szCs w:val="20"/>
        </w:rPr>
        <w:t xml:space="preserve">7.4  Phase 4: Split DXGW &amp; Direct Connect Integration</w:t>
      </w:r>
    </w:p>
    <w:p>
      <w:pPr>
        <w:spacing w:after="60"/>
        <w:ind w:left="360"/>
      </w:pPr>
      <w:r>
        <w:rPr>
          <w:rFonts w:ascii="Arial" w:cs="Arial" w:eastAsia="Arial" w:hAnsi="Arial"/>
          <w:b w:val="false"/>
          <w:bCs w:val="false"/>
          <w:color w:val="2E86C1"/>
          <w:sz w:val="20"/>
          <w:szCs w:val="20"/>
        </w:rPr>
        <w:t xml:space="preserve">7.5  Phase 5: Inspection VPC &amp; Service Chaining</w:t>
      </w:r>
    </w:p>
    <w:p>
      <w:pPr>
        <w:spacing w:after="60"/>
        <w:ind w:left="360"/>
      </w:pPr>
      <w:r>
        <w:rPr>
          <w:rFonts w:ascii="Arial" w:cs="Arial" w:eastAsia="Arial" w:hAnsi="Arial"/>
          <w:b w:val="false"/>
          <w:bCs w:val="false"/>
          <w:color w:val="2E86C1"/>
          <w:sz w:val="20"/>
          <w:szCs w:val="20"/>
        </w:rPr>
        <w:t xml:space="preserve">7.6  Phase 6: IBB Replacement Architecture (Post-Versa)</w:t>
      </w:r>
    </w:p>
    <w:p>
      <w:pPr>
        <w:spacing w:after="60"/>
        <w:ind w:left="360"/>
      </w:pPr>
      <w:r>
        <w:rPr>
          <w:rFonts w:ascii="Arial" w:cs="Arial" w:eastAsia="Arial" w:hAnsi="Arial"/>
          <w:b w:val="false"/>
          <w:bCs w:val="false"/>
          <w:color w:val="2E86C1"/>
          <w:sz w:val="20"/>
          <w:szCs w:val="20"/>
        </w:rPr>
        <w:t xml:space="preserve">7.7  Phase 7: Observability &amp; Telemetry</w:t>
      </w:r>
    </w:p>
    <w:p>
      <w:pPr>
        <w:spacing w:after="60"/>
        <w:ind w:left="360"/>
      </w:pPr>
      <w:r>
        <w:rPr>
          <w:rFonts w:ascii="Arial" w:cs="Arial" w:eastAsia="Arial" w:hAnsi="Arial"/>
          <w:b w:val="false"/>
          <w:bCs w:val="false"/>
          <w:color w:val="2E86C1"/>
          <w:sz w:val="20"/>
          <w:szCs w:val="20"/>
        </w:rPr>
        <w:t xml:space="preserve">7.8  Phase 8: End-to-End Validation &amp; Stress Testing</w:t>
      </w:r>
    </w:p>
    <w:p>
      <w:pPr>
        <w:spacing w:after="60"/>
        <w:ind w:left="0"/>
      </w:pPr>
      <w:r>
        <w:rPr>
          <w:rFonts w:ascii="Arial" w:cs="Arial" w:eastAsia="Arial" w:hAnsi="Arial"/>
          <w:b/>
          <w:bCs/>
          <w:color w:val="2E86C1"/>
          <w:sz w:val="22"/>
          <w:szCs w:val="22"/>
        </w:rPr>
        <w:t xml:space="preserve">8.  Test Cases &amp; Validation Matrix</w:t>
      </w:r>
    </w:p>
    <w:p>
      <w:pPr>
        <w:spacing w:after="60"/>
        <w:ind w:left="0"/>
      </w:pPr>
      <w:r>
        <w:rPr>
          <w:rFonts w:ascii="Arial" w:cs="Arial" w:eastAsia="Arial" w:hAnsi="Arial"/>
          <w:b/>
          <w:bCs/>
          <w:color w:val="2E86C1"/>
          <w:sz w:val="22"/>
          <w:szCs w:val="22"/>
        </w:rPr>
        <w:t xml:space="preserve">9.  Known Issues &amp; Design Decisions</w:t>
      </w:r>
    </w:p>
    <w:p>
      <w:r>
        <w:br w:type="page"/>
      </w:r>
    </w:p>
    <w:p>
      <w:pPr>
        <w:pStyle w:val="Heading1"/>
        <w:spacing w:after="120" w:before="360"/>
      </w:pPr>
      <w:r>
        <w:rPr>
          <w:rFonts w:ascii="Arial" w:cs="Arial" w:eastAsia="Arial" w:hAnsi="Arial"/>
          <w:b/>
          <w:bCs/>
          <w:sz w:val="32"/>
          <w:szCs w:val="32"/>
        </w:rPr>
        <w:t xml:space="preserve">AWS Cloud WAN Terminology &amp; Concepts</w:t>
      </w:r>
    </w:p>
    <w:p>
      <w:pPr>
        <w:spacing w:after="120"/>
      </w:pPr>
      <w:r>
        <w:rPr>
          <w:rFonts w:ascii="Arial" w:cs="Arial" w:eastAsia="Arial" w:hAnsi="Arial"/>
          <w:sz w:val="22"/>
          <w:szCs w:val="22"/>
        </w:rPr>
        <w:t xml:space="preserve">Quick reference for key AWS Cloud WAN terms and policy constructs used throughout this lab build.</w:t>
      </w:r>
    </w:p>
    <w:p/>
    <w:p>
      <w:pPr>
        <w:pStyle w:val="Heading2"/>
        <w:spacing w:after="120" w:before="240"/>
      </w:pPr>
      <w:r>
        <w:rPr>
          <w:rFonts w:ascii="Arial" w:cs="Arial" w:eastAsia="Arial" w:hAnsi="Arial"/>
          <w:b/>
          <w:bCs/>
          <w:sz w:val="28"/>
          <w:szCs w:val="28"/>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Network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global C-WAN resource that spans all regions; contains the policy document, segments, and attachments.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Network Edge (CNE)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regional presence of the core network. Each AWS region in your policy gets a CNE that handles routing and forwarding for that region.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isolated routing domain within C-WAN, similar to a VRF. Attachments in the same segment can communicate; different segments cannot unless explicitly peered.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Segment Peering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Allows route exchange between two segments within the same CNE. Used to enable Shared Services to reach both Prod and Non-Prod.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connection between a resource (VPC, DXGW, S2S VPN, TGW, or Connect) and the core network. Each attachment belongs to exactly one segment.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Attachment Policy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Rules that automatically map new attachments to segments based on tag conditions. Evaluated in order; first match wins.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Route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route entry in a segment’s route table at a specific CNE, showing destination prefix, attachment, and route type (propagated or static).</w:t>
            </w:r>
          </w:p>
        </w:tc>
      </w:tr>
    </w:tbl>
    <w:p/>
    <w:p>
      <w:pPr>
        <w:pStyle w:val="Heading2"/>
        <w:spacing w:after="120" w:before="240"/>
      </w:pPr>
      <w:r>
        <w:rPr>
          <w:rFonts w:ascii="Arial" w:cs="Arial" w:eastAsia="Arial" w:hAnsi="Arial"/>
          <w:b/>
          <w:bCs/>
          <w:sz w:val="28"/>
          <w:szCs w:val="28"/>
        </w:rPr>
        <w:t xml:space="preserve">Policy Actions &amp; Routing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 Actions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rules that define how traffic is routed between segments and attachments. Includes share-with, send-to, and send-via 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 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Forwards traffic destined for a specific segment to an intermediary attachment (e.g., Inspection VPC) before delivery. Used for single-hop inspection.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Via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Inserts a middlebox (e.g., firewall) into the traffic path between two segments. Supports both single-hop and dual-hop inspection patterns.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Hop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Traffic passes through one intermediary attachment before reaching destination. Example: Prod VPC → Inspection VPC → On-Prem via DXGW.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Hop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passes through two intermediary attachments before reaching destination. Example: Source VPC → Inspection (region A) → Inspection (region B) → Dest VPC.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 With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Shares routes from one segment with another without full peering. Provides one-directional or selective route sharing.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condition block in the attachment policy that matches on resource tags (e.g., tag:Environment = Prod) to determine segment placement.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Override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Allows per-region overrides of the global segment/attachment policy. Used when a specific CNE needs different routing behavior.</w:t>
            </w:r>
          </w:p>
        </w:tc>
      </w:tr>
    </w:tbl>
    <w:p>
      <w:r>
        <w:br w:type="page"/>
      </w:r>
    </w:p>
    <w:p>
      <w:pPr>
        <w:pStyle w:val="Heading1"/>
        <w:spacing w:after="120" w:before="360"/>
      </w:pPr>
      <w:r>
        <w:rPr>
          <w:rFonts w:ascii="Arial" w:cs="Arial" w:eastAsia="Arial" w:hAnsi="Arial"/>
          <w:b/>
          <w:bCs/>
          <w:sz w:val="32"/>
          <w:szCs w:val="32"/>
        </w:rPr>
        <w:t xml:space="preserve">LAB Overview &amp; Objectives</w:t>
      </w:r>
    </w:p>
    <w:p>
      <w:pPr>
        <w:pStyle w:val="Heading2"/>
        <w:spacing w:after="120" w:before="240"/>
      </w:pPr>
      <w:r>
        <w:rPr>
          <w:rFonts w:ascii="Arial" w:cs="Arial" w:eastAsia="Arial" w:hAnsi="Arial"/>
          <w:b/>
          <w:bCs/>
          <w:sz w:val="28"/>
          <w:szCs w:val="28"/>
        </w:rPr>
        <w:t xml:space="preserve">Purpose</w:t>
      </w:r>
    </w:p>
    <w:p>
      <w:pPr>
        <w:spacing w:after="120"/>
      </w:pPr>
      <w:r>
        <w:rPr>
          <w:rFonts w:ascii="Arial" w:cs="Arial" w:eastAsia="Arial" w:hAnsi="Arial"/>
          <w:sz w:val="22"/>
          <w:szCs w:val="22"/>
        </w:rPr>
        <w:t xml:space="preserve">The MCBB 3.0 AWS Lab environment serves as a pre-production validation platform to prove out the Cloud WAN with Split DXGW architecture defined in the MCBB 3.0 production design document (v.25, Jan 2026). The lab mirrors the production topology at a reduced scale, enabling the team to validate design requirements (DRs), test failure scenarios, refine Terraform modules, and document operational runbooks before production deployment.</w:t>
      </w:r>
    </w:p>
    <w:p>
      <w:pPr>
        <w:pStyle w:val="Heading2"/>
        <w:spacing w:after="120" w:before="240"/>
      </w:pPr>
      <w:r>
        <w:rPr>
          <w:rFonts w:ascii="Arial" w:cs="Arial" w:eastAsia="Arial" w:hAnsi="Arial"/>
          <w:b/>
          <w:bCs/>
          <w:sz w:val="28"/>
          <w:szCs w:val="28"/>
        </w:rPr>
        <w:t xml:space="preserve">Scope</w:t>
      </w:r>
    </w:p>
    <w:p>
      <w:pPr>
        <w:pStyle w:val="ListParagraph"/>
        <w:numPr>
          <w:ilvl w:val="0"/>
          <w:numId w:val="2"/>
        </w:numPr>
        <w:spacing w:after="60"/>
      </w:pPr>
      <w:r>
        <w:rPr>
          <w:rFonts w:ascii="Arial" w:cs="Arial" w:eastAsia="Arial" w:hAnsi="Arial"/>
          <w:sz w:val="22"/>
          <w:szCs w:val="22"/>
        </w:rPr>
        <w:t xml:space="preserve">AWS Cloud WAN (C-WAN) core network across three lab regions: us-east-1, ap-southeast-2, eu-central-1</w:t>
      </w:r>
    </w:p>
    <w:p>
      <w:pPr>
        <w:pStyle w:val="ListParagraph"/>
        <w:numPr>
          <w:ilvl w:val="0"/>
          <w:numId w:val="2"/>
        </w:numPr>
        <w:spacing w:after="60"/>
      </w:pPr>
      <w:r>
        <w:rPr>
          <w:rFonts w:ascii="Arial" w:cs="Arial" w:eastAsia="Arial" w:hAnsi="Arial"/>
          <w:sz w:val="22"/>
          <w:szCs w:val="22"/>
        </w:rPr>
        <w:t xml:space="preserve">C-WAN segmentation: Prod, Non-Prod, Shared Services (peered to Prod + Non-Prod), and IBB segments</w:t>
      </w:r>
    </w:p>
    <w:p>
      <w:pPr>
        <w:pStyle w:val="ListParagraph"/>
        <w:numPr>
          <w:ilvl w:val="0"/>
          <w:numId w:val="2"/>
        </w:numPr>
        <w:spacing w:after="60"/>
      </w:pPr>
      <w:r>
        <w:rPr>
          <w:rFonts w:ascii="Arial" w:cs="Arial" w:eastAsia="Arial" w:hAnsi="Arial"/>
          <w:sz w:val="22"/>
          <w:szCs w:val="22"/>
        </w:rPr>
        <w:t xml:space="preserve">Cloud Network Edge (CNE) attachments per region</w:t>
      </w:r>
    </w:p>
    <w:p>
      <w:pPr>
        <w:pStyle w:val="ListParagraph"/>
        <w:numPr>
          <w:ilvl w:val="0"/>
          <w:numId w:val="2"/>
        </w:numPr>
        <w:spacing w:after="60"/>
      </w:pPr>
      <w:r>
        <w:rPr>
          <w:rFonts w:ascii="Arial" w:cs="Arial" w:eastAsia="Arial" w:hAnsi="Arial"/>
          <w:sz w:val="22"/>
          <w:szCs w:val="22"/>
        </w:rPr>
        <w:t xml:space="preserve">Split DXGW architecture with regional DXGW instances</w:t>
      </w:r>
    </w:p>
    <w:p>
      <w:pPr>
        <w:pStyle w:val="ListParagraph"/>
        <w:numPr>
          <w:ilvl w:val="0"/>
          <w:numId w:val="2"/>
        </w:numPr>
        <w:spacing w:after="60"/>
      </w:pPr>
      <w:r>
        <w:rPr>
          <w:rFonts w:ascii="Arial" w:cs="Arial" w:eastAsia="Arial" w:hAnsi="Arial"/>
          <w:sz w:val="22"/>
          <w:szCs w:val="22"/>
        </w:rPr>
        <w:t xml:space="preserve">Multiple VPC types per region: Prod, Non-Prod, Inspection, and Shared Services</w:t>
      </w:r>
    </w:p>
    <w:p>
      <w:pPr>
        <w:pStyle w:val="ListParagraph"/>
        <w:numPr>
          <w:ilvl w:val="0"/>
          <w:numId w:val="2"/>
        </w:numPr>
        <w:spacing w:after="60"/>
      </w:pPr>
      <w:r>
        <w:rPr>
          <w:rFonts w:ascii="Arial" w:cs="Arial" w:eastAsia="Arial" w:hAnsi="Arial"/>
          <w:sz w:val="22"/>
          <w:szCs w:val="22"/>
        </w:rPr>
        <w:t xml:space="preserve">Inspection VPC for firewall deployment (AWS Network Firewall or third-party appliance)</w:t>
      </w:r>
    </w:p>
    <w:p>
      <w:pPr>
        <w:pStyle w:val="ListParagraph"/>
        <w:numPr>
          <w:ilvl w:val="0"/>
          <w:numId w:val="2"/>
        </w:numPr>
        <w:spacing w:after="60"/>
      </w:pPr>
      <w:r>
        <w:rPr>
          <w:rFonts w:ascii="Arial" w:cs="Arial" w:eastAsia="Arial" w:hAnsi="Arial"/>
          <w:sz w:val="22"/>
          <w:szCs w:val="22"/>
        </w:rPr>
        <w:t xml:space="preserve">Direct Connect integration via Megaport virtual cross-connects (VXCs)</w:t>
      </w:r>
    </w:p>
    <w:p>
      <w:pPr>
        <w:pStyle w:val="ListParagraph"/>
        <w:numPr>
          <w:ilvl w:val="0"/>
          <w:numId w:val="2"/>
        </w:numPr>
        <w:spacing w:after="60"/>
      </w:pPr>
      <w:r>
        <w:rPr>
          <w:rFonts w:ascii="Arial" w:cs="Arial" w:eastAsia="Arial" w:hAnsi="Arial"/>
          <w:sz w:val="22"/>
          <w:szCs w:val="22"/>
        </w:rPr>
        <w:t xml:space="preserve">BGP route propagation validation with community tagging</w:t>
      </w:r>
    </w:p>
    <w:p>
      <w:pPr>
        <w:pStyle w:val="ListParagraph"/>
        <w:numPr>
          <w:ilvl w:val="0"/>
          <w:numId w:val="2"/>
        </w:numPr>
        <w:spacing w:after="60"/>
      </w:pPr>
      <w:r>
        <w:rPr>
          <w:rFonts w:ascii="Arial" w:cs="Arial" w:eastAsia="Arial" w:hAnsi="Arial"/>
          <w:sz w:val="22"/>
          <w:szCs w:val="22"/>
        </w:rPr>
        <w:t xml:space="preserve">Cross-region traffic flow validation over C-WAN backbone</w:t>
      </w:r>
    </w:p>
    <w:p>
      <w:pPr>
        <w:pStyle w:val="ListParagraph"/>
        <w:numPr>
          <w:ilvl w:val="0"/>
          <w:numId w:val="2"/>
        </w:numPr>
        <w:spacing w:after="60"/>
      </w:pPr>
      <w:r>
        <w:rPr>
          <w:rFonts w:ascii="Arial" w:cs="Arial" w:eastAsia="Arial" w:hAnsi="Arial"/>
          <w:sz w:val="22"/>
          <w:szCs w:val="22"/>
        </w:rPr>
        <w:t xml:space="preserve">International Backbone (IBB) overlay design — cloud-native approach replacing Versa SD-WAN</w:t>
      </w:r>
    </w:p>
    <w:p>
      <w:pPr>
        <w:pStyle w:val="ListParagraph"/>
        <w:numPr>
          <w:ilvl w:val="0"/>
          <w:numId w:val="2"/>
        </w:numPr>
        <w:spacing w:after="60"/>
      </w:pPr>
      <w:r>
        <w:rPr>
          <w:rFonts w:ascii="Arial" w:cs="Arial" w:eastAsia="Arial" w:hAnsi="Arial"/>
          <w:sz w:val="22"/>
          <w:szCs w:val="22"/>
        </w:rPr>
        <w:t xml:space="preserve">Service chaining through inspection VPCs for east-west and north-south traffic</w:t>
      </w:r>
    </w:p>
    <w:p>
      <w:pPr>
        <w:pStyle w:val="ListParagraph"/>
        <w:numPr>
          <w:ilvl w:val="0"/>
          <w:numId w:val="2"/>
        </w:numPr>
        <w:spacing w:after="60"/>
      </w:pPr>
      <w:r>
        <w:rPr>
          <w:rFonts w:ascii="Arial" w:cs="Arial" w:eastAsia="Arial" w:hAnsi="Arial"/>
          <w:sz w:val="22"/>
          <w:szCs w:val="22"/>
        </w:rPr>
        <w:t xml:space="preserve">Infrastructure as Code (Terraform Enterprise) with GitLab CI/CD runners</w:t>
      </w:r>
    </w:p>
    <w:p>
      <w:pPr>
        <w:pStyle w:val="ListParagraph"/>
        <w:numPr>
          <w:ilvl w:val="0"/>
          <w:numId w:val="2"/>
        </w:numPr>
        <w:spacing w:after="60"/>
      </w:pPr>
      <w:r>
        <w:rPr>
          <w:rFonts w:ascii="Arial" w:cs="Arial" w:eastAsia="Arial" w:hAnsi="Arial"/>
          <w:sz w:val="22"/>
          <w:szCs w:val="22"/>
        </w:rPr>
        <w:t xml:space="preserve">Network observability: interim CloudWatch/VPC Flow Logs, target state ThousandEyes + Splunk + Selector AI</w:t>
      </w:r>
    </w:p>
    <w:p/>
    <w:p>
      <w:pPr>
        <w:pStyle w:val="Heading2"/>
        <w:spacing w:after="120" w:before="240"/>
      </w:pPr>
      <w:r>
        <w:rPr>
          <w:rFonts w:ascii="Arial" w:cs="Arial" w:eastAsia="Arial" w:hAnsi="Arial"/>
          <w:b/>
          <w:bCs/>
          <w:sz w:val="28"/>
          <w:szCs w:val="28"/>
        </w:rPr>
        <w:t xml:space="preserve">Out of Scope</w:t>
      </w:r>
    </w:p>
    <w:p>
      <w:pPr>
        <w:pStyle w:val="ListParagraph"/>
        <w:numPr>
          <w:ilvl w:val="0"/>
          <w:numId w:val="2"/>
        </w:numPr>
        <w:spacing w:after="60"/>
      </w:pPr>
      <w:r>
        <w:rPr>
          <w:rFonts w:ascii="Arial" w:cs="Arial" w:eastAsia="Arial" w:hAnsi="Arial"/>
          <w:sz w:val="22"/>
          <w:szCs w:val="22"/>
        </w:rPr>
        <w:t xml:space="preserve">Full-scale 100GE Cloud OnRamp capacity testing</w:t>
      </w:r>
    </w:p>
    <w:p>
      <w:pPr>
        <w:pStyle w:val="ListParagraph"/>
        <w:numPr>
          <w:ilvl w:val="0"/>
          <w:numId w:val="2"/>
        </w:numPr>
        <w:spacing w:after="60"/>
      </w:pPr>
      <w:r>
        <w:rPr>
          <w:rFonts w:ascii="Arial" w:cs="Arial" w:eastAsia="Arial" w:hAnsi="Arial"/>
          <w:sz w:val="22"/>
          <w:szCs w:val="22"/>
        </w:rPr>
        <w:t xml:space="preserve">LATAM region deployment (Argentina, Panama, Mexico)</w:t>
      </w:r>
    </w:p>
    <w:p>
      <w:pPr>
        <w:pStyle w:val="ListParagraph"/>
        <w:numPr>
          <w:ilvl w:val="0"/>
          <w:numId w:val="2"/>
        </w:numPr>
        <w:spacing w:after="60"/>
      </w:pPr>
      <w:r>
        <w:rPr>
          <w:rFonts w:ascii="Arial" w:cs="Arial" w:eastAsia="Arial" w:hAnsi="Arial"/>
          <w:sz w:val="22"/>
          <w:szCs w:val="22"/>
        </w:rPr>
        <w:t xml:space="preserve">Inter-CSP connectivity (Azure, GCP integration points)</w:t>
      </w:r>
    </w:p>
    <w:p>
      <w:pPr>
        <w:pStyle w:val="ListParagraph"/>
        <w:numPr>
          <w:ilvl w:val="0"/>
          <w:numId w:val="2"/>
        </w:numPr>
        <w:spacing w:after="60"/>
      </w:pPr>
      <w:r>
        <w:rPr>
          <w:rFonts w:ascii="Arial" w:cs="Arial" w:eastAsia="Arial" w:hAnsi="Arial"/>
          <w:sz w:val="22"/>
          <w:szCs w:val="22"/>
        </w:rPr>
        <w:t xml:space="preserve">QoS enforcement at egress (DR 4.5 — not supported by CSP)</w:t>
      </w:r>
    </w:p>
    <w:p>
      <w:pPr>
        <w:pStyle w:val="ListParagraph"/>
        <w:numPr>
          <w:ilvl w:val="0"/>
          <w:numId w:val="2"/>
        </w:numPr>
        <w:spacing w:after="60"/>
      </w:pPr>
      <w:r>
        <w:rPr>
          <w:rFonts w:ascii="Arial" w:cs="Arial" w:eastAsia="Arial" w:hAnsi="Arial"/>
          <w:sz w:val="22"/>
          <w:szCs w:val="22"/>
        </w:rPr>
        <w:t xml:space="preserve">Versa SD-WAN / SDR overlay — removed from design due to operational issues</w:t>
      </w:r>
    </w:p>
    <w:p/>
    <w:p>
      <w:pPr>
        <w:pStyle w:val="Heading2"/>
        <w:spacing w:after="120" w:before="240"/>
      </w:pPr>
      <w:r>
        <w:rPr>
          <w:rFonts w:ascii="Arial" w:cs="Arial" w:eastAsia="Arial" w:hAnsi="Arial"/>
          <w:b/>
          <w:bCs/>
          <w:sz w:val="28"/>
          <w:szCs w:val="28"/>
        </w:rPr>
        <w:t xml:space="preserve">Key Design Change: Versa Removal</w:t>
      </w:r>
    </w:p>
    <w:p>
      <w:pPr>
        <w:spacing w:after="120"/>
      </w:pPr>
      <w:r>
        <w:rPr>
          <w:rFonts w:ascii="Arial" w:cs="Arial" w:eastAsia="Arial" w:hAnsi="Arial"/>
          <w:sz w:val="22"/>
          <w:szCs w:val="22"/>
        </w:rPr>
        <w:t xml:space="preserve">The original MCBB 3.0 design specified Versa SDRs for the International Backbone (IBB) SD-WAN overlay. Due to recent operational issues with Versa, the IBB overlay will be re-architected using cloud-native alternatives:</w:t>
      </w:r>
    </w:p>
    <w:p>
      <w:pPr>
        <w:pStyle w:val="ListParagraph"/>
        <w:numPr>
          <w:ilvl w:val="0"/>
          <w:numId w:val="2"/>
        </w:numPr>
        <w:spacing w:after="60"/>
      </w:pPr>
      <w:r>
        <w:rPr>
          <w:rFonts w:ascii="Arial" w:cs="Arial" w:eastAsia="Arial" w:hAnsi="Arial"/>
          <w:sz w:val="22"/>
          <w:szCs w:val="22"/>
        </w:rPr>
        <w:t xml:space="preserve">AWS Cloud WAN native cross-region routing with dedicated IBB segment and route policies</w:t>
      </w:r>
    </w:p>
    <w:p>
      <w:pPr>
        <w:pStyle w:val="ListParagraph"/>
        <w:numPr>
          <w:ilvl w:val="0"/>
          <w:numId w:val="2"/>
        </w:numPr>
        <w:spacing w:after="60"/>
      </w:pPr>
      <w:r>
        <w:rPr>
          <w:rFonts w:ascii="Arial" w:cs="Arial" w:eastAsia="Arial" w:hAnsi="Arial"/>
          <w:sz w:val="22"/>
          <w:szCs w:val="22"/>
        </w:rPr>
        <w:t xml:space="preserve">AWS Site-to-Site VPN with accelerated VPN (Global Accelerator backed) for encrypted cross-region tunnels</w:t>
      </w:r>
    </w:p>
    <w:p>
      <w:pPr>
        <w:pStyle w:val="ListParagraph"/>
        <w:numPr>
          <w:ilvl w:val="0"/>
          <w:numId w:val="2"/>
        </w:numPr>
        <w:spacing w:after="60"/>
      </w:pPr>
      <w:r>
        <w:rPr>
          <w:rFonts w:ascii="Arial" w:cs="Arial" w:eastAsia="Arial" w:hAnsi="Arial"/>
          <w:sz w:val="22"/>
          <w:szCs w:val="22"/>
        </w:rPr>
        <w:t xml:space="preserve">AWS Transit Gateway inter-region peering as a fallback for IBB traffic segregation</w:t>
      </w:r>
    </w:p>
    <w:p>
      <w:pPr>
        <w:pStyle w:val="ListParagraph"/>
        <w:numPr>
          <w:ilvl w:val="0"/>
          <w:numId w:val="2"/>
        </w:numPr>
        <w:spacing w:after="60"/>
      </w:pPr>
      <w:r>
        <w:rPr>
          <w:rFonts w:ascii="Arial" w:cs="Arial" w:eastAsia="Arial" w:hAnsi="Arial"/>
          <w:sz w:val="22"/>
          <w:szCs w:val="22"/>
        </w:rPr>
        <w:t xml:space="preserve">Public VIF over existing DX connections for IBB underlay (as referenced in production design doc)</w:t>
      </w:r>
    </w:p>
    <w:p/>
    <w:p>
      <w:pPr>
        <w:pStyle w:val="Heading2"/>
        <w:spacing w:after="120" w:before="240"/>
      </w:pPr>
      <w:r>
        <w:rPr>
          <w:rFonts w:ascii="Arial" w:cs="Arial" w:eastAsia="Arial" w:hAnsi="Arial"/>
          <w:b/>
          <w:bCs/>
          <w:sz w:val="28"/>
          <w:szCs w:val="28"/>
        </w:rPr>
        <w:t xml:space="preserve">Inspection VPC Architecture</w:t>
      </w:r>
    </w:p>
    <w:p>
      <w:pPr>
        <w:spacing w:after="120"/>
      </w:pPr>
      <w:r>
        <w:rPr>
          <w:rFonts w:ascii="Arial" w:cs="Arial" w:eastAsia="Arial" w:hAnsi="Arial"/>
          <w:sz w:val="22"/>
          <w:szCs w:val="22"/>
        </w:rPr>
        <w:t xml:space="preserve">Each region includes a dedicated Inspection VPC for centralized security appliances supporting east-west inspection (inter-VPC traffic routed through firewall before reaching destination), north-south inspection (traffic to on-prem/internet inspected before leaving the region), and service chaining via C-WAN routing policies (send-to / send-via actions).</w:t>
      </w:r>
    </w:p>
    <w:p>
      <w:pPr>
        <w:spacing w:after="120"/>
      </w:pPr>
      <w:r>
        <w:rPr>
          <w:rFonts w:ascii="Arial" w:cs="Arial" w:eastAsia="Arial" w:hAnsi="Arial"/>
          <w:sz w:val="22"/>
          <w:szCs w:val="22"/>
        </w:rPr>
        <w:t xml:space="preserve">Firewall options under evaluation:</w:t>
      </w:r>
    </w:p>
    <w:p>
      <w:pPr>
        <w:pStyle w:val="ListParagraph"/>
        <w:numPr>
          <w:ilvl w:val="0"/>
          <w:numId w:val="2"/>
        </w:numPr>
        <w:spacing w:after="60"/>
      </w:pPr>
      <w:r>
        <w:rPr>
          <w:rFonts w:ascii="Arial" w:cs="Arial" w:eastAsia="Arial" w:hAnsi="Arial"/>
          <w:sz w:val="22"/>
          <w:szCs w:val="22"/>
        </w:rPr>
        <w:t xml:space="preserve">AWS Network Firewall — cloud-native, Terraform-friendly, integrates with VPC route tables</w:t>
      </w:r>
    </w:p>
    <w:p>
      <w:pPr>
        <w:pStyle w:val="ListParagraph"/>
        <w:numPr>
          <w:ilvl w:val="0"/>
          <w:numId w:val="2"/>
        </w:numPr>
        <w:spacing w:after="60"/>
      </w:pPr>
      <w:r>
        <w:rPr>
          <w:rFonts w:ascii="Arial" w:cs="Arial" w:eastAsia="Arial" w:hAnsi="Arial"/>
          <w:sz w:val="22"/>
          <w:szCs w:val="22"/>
        </w:rPr>
        <w:t xml:space="preserve">Third-party appliance firewall (e.g., Palo Alto, CheckPoint, Fortinet) — deployed as EC2-based NVAs</w:t>
      </w:r>
    </w:p>
    <w:p>
      <w:r>
        <w:br w:type="page"/>
      </w:r>
    </w:p>
    <w:p>
      <w:pPr>
        <w:pStyle w:val="Heading1"/>
        <w:spacing w:after="120" w:before="360"/>
      </w:pPr>
      <w:r>
        <w:rPr>
          <w:rFonts w:ascii="Arial" w:cs="Arial" w:eastAsia="Arial" w:hAnsi="Arial"/>
          <w:b/>
          <w:bCs/>
          <w:sz w:val="32"/>
          <w:szCs w:val="32"/>
        </w:rPr>
        <w:t xml:space="preserve">LAB Topology &amp; Network Diagrams</w:t>
      </w:r>
    </w:p>
    <w:p>
      <w:pPr>
        <w:pStyle w:val="Heading2"/>
        <w:spacing w:after="120" w:before="240"/>
      </w:pPr>
      <w:r>
        <w:rPr>
          <w:rFonts w:ascii="Arial" w:cs="Arial" w:eastAsia="Arial" w:hAnsi="Arial"/>
          <w:b/>
          <w:bCs/>
          <w:sz w:val="28"/>
          <w:szCs w:val="28"/>
        </w:rPr>
        <w:t xml:space="preserve">Lab Region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Lab Region</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AWS Region</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DXGW Scope</w:t>
            </w:r>
          </w:p>
        </w:tc>
        <w:tc>
          <w:tcPr>
            <w:tcW w:type="dxa" w:w="2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VPCs Deployed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East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 (N. Virginia)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dxgw-us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 Non-Prod, Inspection, Shared Svc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APAC</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ap-southeast-2 (Sydney)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dxgw-apac</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 Inspection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eu-central-1 (Frankfurt)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dxgw-emea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 Non-Prod, Inspection</w:t>
            </w:r>
          </w:p>
        </w:tc>
      </w:tr>
    </w:tbl>
    <w:p/>
    <w:p>
      <w:pPr>
        <w:pStyle w:val="Heading2"/>
        <w:spacing w:after="120" w:before="240"/>
      </w:pPr>
      <w:r>
        <w:rPr>
          <w:rFonts w:ascii="Arial" w:cs="Arial" w:eastAsia="Arial" w:hAnsi="Arial"/>
          <w:b/>
          <w:bCs/>
          <w:sz w:val="28"/>
          <w:szCs w:val="28"/>
        </w:rPr>
        <w:t xml:space="preserve">VPC Architecture Per Region</w:t>
      </w:r>
    </w:p>
    <w:p>
      <w:pPr>
        <w:pStyle w:val="Heading3"/>
        <w:spacing w:after="120" w:before="240"/>
      </w:pPr>
      <w:r>
        <w:rPr>
          <w:rFonts w:ascii="Arial" w:cs="Arial" w:eastAsia="Arial" w:hAnsi="Arial"/>
          <w:b/>
          <w:bCs/>
          <w:sz w:val="24"/>
          <w:szCs w:val="24"/>
        </w:rPr>
        <w:t xml:space="preserve">us-east-1 (N. Virginia)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VPC Name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CIDR</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C-WAN Segment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lab-prod-use1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workloads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lab-nonprod-use1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10.21.0.0/21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Non-production / dev / staging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lab-inspection-use1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10.22.0.0/22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appliances (AWS NFW or 3rd party NVA)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 attachment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lab-shared-use1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services (DNS, logging, tooling)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Services (peers to Prod + Non-Prod)</w:t>
            </w:r>
          </w:p>
        </w:tc>
      </w:tr>
    </w:tbl>
    <w:p/>
    <w:p>
      <w:pPr>
        <w:pStyle w:val="Heading3"/>
        <w:spacing w:after="120" w:before="240"/>
      </w:pPr>
      <w:r>
        <w:rPr>
          <w:rFonts w:ascii="Arial" w:cs="Arial" w:eastAsia="Arial" w:hAnsi="Arial"/>
          <w:b/>
          <w:bCs/>
          <w:sz w:val="24"/>
          <w:szCs w:val="24"/>
        </w:rPr>
        <w:t xml:space="preserve">ap-southeast-2 (Sydney)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VPC Name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CIDR</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C-WAN Segment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lab-prod-apse2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10.30.0.0/21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workloads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lab-inspection-apse2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10.32.0.0/22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Firewall appliances (AWS NFW or 3rd party NVA)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Inspection attachment</w:t>
            </w:r>
          </w:p>
        </w:tc>
      </w:tr>
    </w:tbl>
    <w:p/>
    <w:p>
      <w:pPr>
        <w:pStyle w:val="Heading3"/>
        <w:spacing w:after="120" w:before="240"/>
      </w:pPr>
      <w:r>
        <w:rPr>
          <w:rFonts w:ascii="Arial" w:cs="Arial" w:eastAsia="Arial" w:hAnsi="Arial"/>
          <w:b/>
          <w:bCs/>
          <w:sz w:val="24"/>
          <w:szCs w:val="24"/>
        </w:rPr>
        <w:t xml:space="preserve">eu-central-1 (Frankfurt)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VPC Name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CIDR</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C-WAN Segment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lab-prod-euc1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workloads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lab-nonprod-euc1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Non-production / dev / staging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lab-inspection-euc1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Firewall appliances (AWS NFW or 3rd party NVA)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 attachment</w:t>
            </w:r>
          </w:p>
        </w:tc>
      </w:tr>
    </w:tbl>
    <w:p>
      <w:pPr>
        <w:spacing w:after="120"/>
      </w:pPr>
      <w:r>
        <w:rPr>
          <w:rFonts w:ascii="Arial" w:cs="Arial" w:eastAsia="Arial" w:hAnsi="Arial"/>
          <w:i/>
          <w:iCs/>
          <w:color w:val="CC0000"/>
          <w:sz w:val="22"/>
          <w:szCs w:val="22"/>
        </w:rPr>
        <w:t xml:space="preserve">Note: eu-central-1 VPC CIDRs must be from a different address range than us-east-1 (10.20.x.x) and Sydney (10.30.x.x) to avoid overlap.</w:t>
      </w:r>
    </w:p>
    <w:p/>
    <w:p>
      <w:pPr>
        <w:pStyle w:val="Heading2"/>
        <w:spacing w:after="120" w:before="240"/>
      </w:pPr>
      <w:r>
        <w:rPr>
          <w:rFonts w:ascii="Arial" w:cs="Arial" w:eastAsia="Arial" w:hAnsi="Arial"/>
          <w:b/>
          <w:bCs/>
          <w:sz w:val="28"/>
          <w:szCs w:val="28"/>
        </w:rPr>
        <w:t xml:space="preserve">High-Level Lab Topology</w:t>
      </w:r>
    </w:p>
    <w:p>
      <w:pPr>
        <w:pStyle w:val="ListParagraph"/>
        <w:numPr>
          <w:ilvl w:val="0"/>
          <w:numId w:val="2"/>
        </w:numPr>
        <w:spacing w:after="60"/>
      </w:pPr>
      <w:r>
        <w:rPr>
          <w:rFonts w:ascii="Arial" w:cs="Arial" w:eastAsia="Arial" w:hAnsi="Arial"/>
          <w:sz w:val="22"/>
          <w:szCs w:val="22"/>
        </w:rPr>
        <w:t xml:space="preserve">C-WAN Core Network with four segments: Prod, Non-Prod, Shared Services (peered to Prod + Non-Prod), and IBB</w:t>
      </w:r>
    </w:p>
    <w:p>
      <w:pPr>
        <w:pStyle w:val="ListParagraph"/>
        <w:numPr>
          <w:ilvl w:val="0"/>
          <w:numId w:val="2"/>
        </w:numPr>
        <w:spacing w:after="60"/>
      </w:pPr>
      <w:r>
        <w:rPr>
          <w:rFonts w:ascii="Arial" w:cs="Arial" w:eastAsia="Arial" w:hAnsi="Arial"/>
          <w:sz w:val="22"/>
          <w:szCs w:val="22"/>
        </w:rPr>
        <w:t xml:space="preserve">One CNE per region attached to the core network</w:t>
      </w:r>
    </w:p>
    <w:p>
      <w:pPr>
        <w:pStyle w:val="ListParagraph"/>
        <w:numPr>
          <w:ilvl w:val="0"/>
          <w:numId w:val="2"/>
        </w:numPr>
        <w:spacing w:after="60"/>
      </w:pPr>
      <w:r>
        <w:rPr>
          <w:rFonts w:ascii="Arial" w:cs="Arial" w:eastAsia="Arial" w:hAnsi="Arial"/>
          <w:sz w:val="22"/>
          <w:szCs w:val="22"/>
        </w:rPr>
        <w:t xml:space="preserve">Multiple VPCs per region attached to appropriate C-WAN segments</w:t>
      </w:r>
    </w:p>
    <w:p>
      <w:pPr>
        <w:pStyle w:val="ListParagraph"/>
        <w:numPr>
          <w:ilvl w:val="0"/>
          <w:numId w:val="2"/>
        </w:numPr>
        <w:spacing w:after="60"/>
      </w:pPr>
      <w:r>
        <w:rPr>
          <w:rFonts w:ascii="Arial" w:cs="Arial" w:eastAsia="Arial" w:hAnsi="Arial"/>
          <w:sz w:val="22"/>
          <w:szCs w:val="22"/>
        </w:rPr>
        <w:t xml:space="preserve">Inspection VPC per region with dedicated C-WAN attachment for service chaining</w:t>
      </w:r>
    </w:p>
    <w:p>
      <w:pPr>
        <w:pStyle w:val="ListParagraph"/>
        <w:numPr>
          <w:ilvl w:val="0"/>
          <w:numId w:val="2"/>
        </w:numPr>
        <w:spacing w:after="60"/>
      </w:pPr>
      <w:r>
        <w:rPr>
          <w:rFonts w:ascii="Arial" w:cs="Arial" w:eastAsia="Arial" w:hAnsi="Arial"/>
          <w:sz w:val="22"/>
          <w:szCs w:val="22"/>
        </w:rPr>
        <w:t xml:space="preserve">Three regional DXGW instances: dxgw-us, dxgw-apac, dxgw-emea</w:t>
      </w:r>
    </w:p>
    <w:p>
      <w:pPr>
        <w:pStyle w:val="ListParagraph"/>
        <w:numPr>
          <w:ilvl w:val="0"/>
          <w:numId w:val="2"/>
        </w:numPr>
        <w:spacing w:after="60"/>
      </w:pPr>
      <w:r>
        <w:rPr>
          <w:rFonts w:ascii="Arial" w:cs="Arial" w:eastAsia="Arial" w:hAnsi="Arial"/>
          <w:sz w:val="22"/>
          <w:szCs w:val="22"/>
        </w:rPr>
        <w:t xml:space="preserve">Megaport VXCs delivering hosted DX connections to each DXGW</w:t>
      </w:r>
    </w:p>
    <w:p/>
    <w:p>
      <w:pPr>
        <w:spacing w:after="120"/>
      </w:pPr>
      <w:r>
        <w:rPr>
          <w:rFonts w:ascii="Arial" w:cs="Arial" w:eastAsia="Arial" w:hAnsi="Arial"/>
          <w:i/>
          <w:iCs/>
          <w:color w:val="CC0000"/>
          <w:sz w:val="22"/>
          <w:szCs w:val="22"/>
        </w:rPr>
        <w:t xml:space="preserve">[INSERT LAB TOPOLOGY DIAGRAM HERE]</w:t>
      </w:r>
    </w:p>
    <w:p>
      <w:pPr>
        <w:spacing w:after="120"/>
      </w:pPr>
      <w:r>
        <w:rPr>
          <w:rFonts w:ascii="Arial" w:cs="Arial" w:eastAsia="Arial" w:hAnsi="Arial"/>
          <w:i/>
          <w:iCs/>
          <w:color w:val="666666"/>
          <w:sz w:val="22"/>
          <w:szCs w:val="22"/>
        </w:rPr>
        <w:t xml:space="preserve">Use naming convention: MCBB3-LAB-[TYPE]-v[X].[Y] (e.g., MCBB3-LAB-TOPO-v1.0, MCBB3-LAB-ROUTE-v1.0, MCBB3-LAB-FLOW-US-v1.0, MCBB3-LAB-INSPECT-v1.0).</w:t>
      </w:r>
    </w:p>
    <w:p>
      <w:r>
        <w:br w:type="page"/>
      </w:r>
    </w:p>
    <w:p>
      <w:pPr>
        <w:pStyle w:val="Heading1"/>
        <w:spacing w:after="120" w:before="360"/>
      </w:pPr>
      <w:r>
        <w:rPr>
          <w:rFonts w:ascii="Arial" w:cs="Arial" w:eastAsia="Arial" w:hAnsi="Arial"/>
          <w:b/>
          <w:bCs/>
          <w:sz w:val="32"/>
          <w:szCs w:val="32"/>
        </w:rPr>
        <w:t xml:space="preserve">Resource Inventory</w:t>
      </w:r>
    </w:p>
    <w:p>
      <w:pPr>
        <w:spacing w:after="120"/>
      </w:pPr>
      <w:r>
        <w:rPr>
          <w:rFonts w:ascii="Arial" w:cs="Arial" w:eastAsia="Arial" w:hAnsi="Arial"/>
          <w:sz w:val="22"/>
          <w:szCs w:val="22"/>
        </w:rPr>
        <w:t xml:space="preserve">Single source of truth for all lab AWS resources. Update after each provisioning phase.</w:t>
      </w:r>
    </w:p>
    <w:p/>
    <w:p>
      <w:pPr>
        <w:pStyle w:val="Heading2"/>
        <w:spacing w:after="120" w:before="240"/>
      </w:pPr>
      <w:r>
        <w:rPr>
          <w:rFonts w:ascii="Arial" w:cs="Arial" w:eastAsia="Arial" w:hAnsi="Arial"/>
          <w:b/>
          <w:bCs/>
          <w:sz w:val="28"/>
          <w:szCs w:val="28"/>
        </w:rPr>
        <w:t xml:space="preserve">CNE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CNE Name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Attachment ID</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CNE-US-East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ap-southeast-2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CNE-APAC-Sydney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eu-central-1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CNE-EMEA-Frankfurt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r>
    </w:tbl>
    <w:p/>
    <w:p>
      <w:pPr>
        <w:pStyle w:val="Heading2"/>
        <w:spacing w:after="120" w:before="240"/>
      </w:pPr>
      <w:r>
        <w:rPr>
          <w:rFonts w:ascii="Arial" w:cs="Arial" w:eastAsia="Arial" w:hAnsi="Arial"/>
          <w:b/>
          <w:bCs/>
          <w:sz w:val="28"/>
          <w:szCs w:val="28"/>
        </w:rPr>
        <w:t xml:space="preserve">VPC &amp; Inspection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1400"/>
        <w:gridCol w:w="1600"/>
        <w:gridCol w:w="156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VPC Name</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CIDR</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FW Type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lab-prod-use1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us-east-1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lab-nonprod-use1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10.21.0.0/21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lab-inspection-use1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10.22.0.0/22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NFW / 3P]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us-east-1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lab-shared-use1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Svc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Svc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lab-prod-apse2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10.30.0.0/21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ap-southeast-2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lab-inspection-apse2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10.32.0.0/22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Inspection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Inspection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[AWS NFW / 3P]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eu-central-1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lab-prod-euc1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eu-central-1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lab-nonprod-euc1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Non-Prod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eu-central-1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lab-inspection-euc1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NFW / 3P]</w:t>
            </w:r>
          </w:p>
        </w:tc>
      </w:tr>
    </w:tbl>
    <w:p/>
    <w:p>
      <w:pPr>
        <w:pStyle w:val="Heading2"/>
        <w:spacing w:after="120" w:before="240"/>
      </w:pPr>
      <w:r>
        <w:rPr>
          <w:rFonts w:ascii="Arial" w:cs="Arial" w:eastAsia="Arial" w:hAnsi="Arial"/>
          <w:b/>
          <w:bCs/>
          <w:sz w:val="28"/>
          <w:szCs w:val="28"/>
        </w:rPr>
        <w:t xml:space="preserve">DXGW, Direct Connect &amp; Megaport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600"/>
        <w:gridCol w:w="1400"/>
        <w:gridCol w:w="1200"/>
        <w:gridCol w:w="1760"/>
      </w:tblGrid>
      <w:tr>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DXGW</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DXGW ID</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DX Conn</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Megaport</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dxgw-us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Megaport ETA: Mar 20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dxgw-apac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ap-southeast-2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dxgw-emea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eu-central-1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r>
    </w:tbl>
    <w:p>
      <w:r>
        <w:br w:type="page"/>
      </w:r>
    </w:p>
    <w:p>
      <w:pPr>
        <w:pStyle w:val="Heading1"/>
        <w:spacing w:after="120" w:before="360"/>
      </w:pPr>
      <w:r>
        <w:rPr>
          <w:rFonts w:ascii="Arial" w:cs="Arial" w:eastAsia="Arial" w:hAnsi="Arial"/>
          <w:b/>
          <w:bCs/>
          <w:sz w:val="32"/>
          <w:szCs w:val="32"/>
        </w:rPr>
        <w:t xml:space="preserve">BGP Community Tagging &amp; Route Propagation</w:t>
      </w:r>
    </w:p>
    <w:p>
      <w:pPr>
        <w:pStyle w:val="Heading2"/>
        <w:spacing w:after="120" w:before="240"/>
      </w:pPr>
      <w:r>
        <w:rPr>
          <w:rFonts w:ascii="Arial" w:cs="Arial" w:eastAsia="Arial" w:hAnsi="Arial"/>
          <w:b/>
          <w:bCs/>
          <w:sz w:val="28"/>
          <w:szCs w:val="28"/>
        </w:rPr>
        <w:t xml:space="preserve">BGP Community Tagging Plan</w:t>
      </w:r>
    </w:p>
    <w:p>
      <w:pPr>
        <w:spacing w:after="120"/>
      </w:pPr>
      <w:r>
        <w:rPr>
          <w:rFonts w:ascii="Arial" w:cs="Arial" w:eastAsia="Arial" w:hAnsi="Arial"/>
          <w:sz w:val="22"/>
          <w:szCs w:val="22"/>
        </w:rPr>
        <w:t xml:space="preserve">All routes must be tagged with Fiserv-required BGP communities per DR 2.5: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Community Value</w:t>
            </w:r>
          </w:p>
        </w:tc>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Applied 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origin prefix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us-east-1 VPC routes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APAC origin prefix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ap-southeast-2 VPC routes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EMEA origin prefix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eu-central-1 VPC routes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On-prem DC prefix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Routes from DX connections</w:t>
            </w:r>
          </w:p>
        </w:tc>
      </w:tr>
    </w:tbl>
    <w:p/>
    <w:p>
      <w:pPr>
        <w:pStyle w:val="Heading2"/>
        <w:spacing w:after="120" w:before="240"/>
      </w:pPr>
      <w:r>
        <w:rPr>
          <w:rFonts w:ascii="Arial" w:cs="Arial" w:eastAsia="Arial" w:hAnsi="Arial"/>
          <w:b/>
          <w:bCs/>
          <w:sz w:val="28"/>
          <w:szCs w:val="28"/>
        </w:rPr>
        <w:t xml:space="preserve">Route Propagation Rules</w:t>
      </w:r>
    </w:p>
    <w:p>
      <w:pPr>
        <w:pStyle w:val="ListParagraph"/>
        <w:numPr>
          <w:ilvl w:val="0"/>
          <w:numId w:val="2"/>
        </w:numPr>
        <w:spacing w:after="60"/>
      </w:pPr>
      <w:r>
        <w:rPr>
          <w:rFonts w:ascii="Arial" w:cs="Arial" w:eastAsia="Arial" w:hAnsi="Arial"/>
          <w:sz w:val="22"/>
          <w:szCs w:val="22"/>
        </w:rPr>
        <w:t xml:space="preserve">C-WAN Prod segment: Prod VPC CIDRs propagate CNE-to-CNE within Prod segment only (isolated from Non-Prod)</w:t>
      </w:r>
    </w:p>
    <w:p>
      <w:pPr>
        <w:pStyle w:val="ListParagraph"/>
        <w:numPr>
          <w:ilvl w:val="0"/>
          <w:numId w:val="2"/>
        </w:numPr>
        <w:spacing w:after="60"/>
      </w:pPr>
      <w:r>
        <w:rPr>
          <w:rFonts w:ascii="Arial" w:cs="Arial" w:eastAsia="Arial" w:hAnsi="Arial"/>
          <w:sz w:val="22"/>
          <w:szCs w:val="22"/>
        </w:rPr>
        <w:t xml:space="preserve">C-WAN Non-Prod segment: Non-Prod VPC CIDRs propagate within Non-Prod segment only (isolated from Prod)</w:t>
      </w:r>
    </w:p>
    <w:p>
      <w:pPr>
        <w:pStyle w:val="ListParagraph"/>
        <w:numPr>
          <w:ilvl w:val="0"/>
          <w:numId w:val="2"/>
        </w:numPr>
        <w:spacing w:after="60"/>
      </w:pPr>
      <w:r>
        <w:rPr>
          <w:rFonts w:ascii="Arial" w:cs="Arial" w:eastAsia="Arial" w:hAnsi="Arial"/>
          <w:sz w:val="22"/>
          <w:szCs w:val="22"/>
        </w:rPr>
        <w:t xml:space="preserve">C-WAN Shared Services segment: Peers to both Prod and Non-Prod segments; Shared Services VPC routes visible in both</w:t>
      </w:r>
    </w:p>
    <w:p>
      <w:pPr>
        <w:pStyle w:val="ListParagraph"/>
        <w:numPr>
          <w:ilvl w:val="0"/>
          <w:numId w:val="2"/>
        </w:numPr>
        <w:spacing w:after="60"/>
      </w:pPr>
      <w:r>
        <w:rPr>
          <w:rFonts w:ascii="Arial" w:cs="Arial" w:eastAsia="Arial" w:hAnsi="Arial"/>
          <w:sz w:val="22"/>
          <w:szCs w:val="22"/>
        </w:rPr>
        <w:t xml:space="preserve">Inspection VPC attachment: Receives return routes from Prod/Non-Prod VPCs; sends default or specific routes to attract inspection traffic</w:t>
      </w:r>
    </w:p>
    <w:p>
      <w:pPr>
        <w:pStyle w:val="ListParagraph"/>
        <w:numPr>
          <w:ilvl w:val="0"/>
          <w:numId w:val="2"/>
        </w:numPr>
        <w:spacing w:after="60"/>
      </w:pPr>
      <w:r>
        <w:rPr>
          <w:rFonts w:ascii="Arial" w:cs="Arial" w:eastAsia="Arial" w:hAnsi="Arial"/>
          <w:sz w:val="22"/>
          <w:szCs w:val="22"/>
        </w:rPr>
        <w:t xml:space="preserve">dxgw-us: Receives aggregated US VPC routes from CNE-US-East; advertises to DX peers</w:t>
      </w:r>
    </w:p>
    <w:p>
      <w:pPr>
        <w:pStyle w:val="ListParagraph"/>
        <w:numPr>
          <w:ilvl w:val="0"/>
          <w:numId w:val="2"/>
        </w:numPr>
        <w:spacing w:after="60"/>
      </w:pPr>
      <w:r>
        <w:rPr>
          <w:rFonts w:ascii="Arial" w:cs="Arial" w:eastAsia="Arial" w:hAnsi="Arial"/>
          <w:sz w:val="22"/>
          <w:szCs w:val="22"/>
        </w:rPr>
        <w:t xml:space="preserve">dxgw-apac: Receives Sydney VPC routes from CNE-APAC-Sydney; advertises to DX peers</w:t>
      </w:r>
    </w:p>
    <w:p>
      <w:pPr>
        <w:pStyle w:val="ListParagraph"/>
        <w:numPr>
          <w:ilvl w:val="0"/>
          <w:numId w:val="2"/>
        </w:numPr>
        <w:spacing w:after="60"/>
      </w:pPr>
      <w:r>
        <w:rPr>
          <w:rFonts w:ascii="Arial" w:cs="Arial" w:eastAsia="Arial" w:hAnsi="Arial"/>
          <w:sz w:val="22"/>
          <w:szCs w:val="22"/>
        </w:rPr>
        <w:t xml:space="preserve">dxgw-emea: Receives Frankfurt VPC routes from CNE-EMEA-Frankfurt; advertises to DX peers</w:t>
      </w:r>
    </w:p>
    <w:p>
      <w:pPr>
        <w:pStyle w:val="ListParagraph"/>
        <w:numPr>
          <w:ilvl w:val="0"/>
          <w:numId w:val="2"/>
        </w:numPr>
        <w:spacing w:after="60"/>
      </w:pPr>
      <w:r>
        <w:rPr>
          <w:rFonts w:ascii="Arial" w:cs="Arial" w:eastAsia="Arial" w:hAnsi="Arial"/>
          <w:sz w:val="22"/>
          <w:szCs w:val="22"/>
        </w:rPr>
        <w:t xml:space="preserve">Cross-DXGW traffic: Must traverse C-WAN backbone (not leak between DXGWs)</w:t>
      </w:r>
    </w:p>
    <w:p>
      <w:r>
        <w:br w:type="page"/>
      </w:r>
    </w:p>
    <w:p>
      <w:pPr>
        <w:pStyle w:val="Heading1"/>
        <w:spacing w:after="120" w:before="360"/>
      </w:pPr>
      <w:r>
        <w:rPr>
          <w:rFonts w:ascii="Arial" w:cs="Arial" w:eastAsia="Arial" w:hAnsi="Arial"/>
          <w:b/>
          <w:bCs/>
          <w:sz w:val="32"/>
          <w:szCs w:val="32"/>
        </w:rPr>
        <w:t xml:space="preserve">Infrastructure as Code / Terraform</w:t>
      </w:r>
    </w:p>
    <w:p>
      <w:pPr>
        <w:spacing w:after="120"/>
      </w:pPr>
      <w:r>
        <w:rPr>
          <w:rFonts w:ascii="Arial" w:cs="Arial" w:eastAsia="Arial" w:hAnsi="Arial"/>
          <w:sz w:val="22"/>
          <w:szCs w:val="22"/>
        </w:rPr>
        <w:t xml:space="preserve">All lab infrastructure is managed via Terraform Enterprise with GitLab CI/CD runners.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GitLab Project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 — GitLab repo URL]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Terraform Enterprise Org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(Lab)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Backend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Terraform Enterprise (remote)</w:t>
            </w:r>
          </w:p>
        </w:tc>
      </w:tr>
    </w:tbl>
    <w:p/>
    <w:p>
      <w:pPr>
        <w:spacing w:after="120"/>
      </w:pPr>
      <w:r>
        <w:rPr>
          <w:rFonts w:ascii="Arial" w:cs="Arial" w:eastAsia="Arial" w:hAnsi="Arial"/>
          <w:b/>
          <w:bCs/>
          <w:sz w:val="22"/>
          <w:szCs w:val="22"/>
        </w:rPr>
        <w:t xml:space="preserve">Module Layout:</w:t>
      </w:r>
    </w:p>
    <w:p>
      <w:pPr>
        <w:spacing w:after="120"/>
      </w:pPr>
      <w:r>
        <w:rPr>
          <w:rFonts w:ascii="Courier New" w:cs="Courier New" w:eastAsia="Courier New" w:hAnsi="Courier New"/>
          <w:b/>
          <w:bCs/>
          <w:sz w:val="22"/>
          <w:szCs w:val="22"/>
        </w:rPr>
        <w:t xml:space="preserve">mcbb3-lab-terraform/modules/</w:t>
      </w:r>
    </w:p>
    <w:p>
      <w:pPr>
        <w:spacing w:after="120"/>
      </w:pPr>
      <w:r>
        <w:rPr>
          <w:rFonts w:ascii="Courier New" w:cs="Courier New" w:eastAsia="Courier New" w:hAnsi="Courier New"/>
          <w:sz w:val="20"/>
          <w:szCs w:val="20"/>
        </w:rPr>
        <w:t xml:space="preserve">  cwan-core/           — C-WAN core network, segments, policies</w:t>
      </w:r>
    </w:p>
    <w:p>
      <w:pPr>
        <w:spacing w:after="120"/>
      </w:pPr>
      <w:r>
        <w:rPr>
          <w:rFonts w:ascii="Courier New" w:cs="Courier New" w:eastAsia="Courier New" w:hAnsi="Courier New"/>
          <w:sz w:val="20"/>
          <w:szCs w:val="20"/>
        </w:rPr>
        <w:t xml:space="preserve">  cne/                 — Cloud Network Edge per region</w:t>
      </w:r>
    </w:p>
    <w:p>
      <w:pPr>
        <w:spacing w:after="120"/>
      </w:pPr>
      <w:r>
        <w:rPr>
          <w:rFonts w:ascii="Courier New" w:cs="Courier New" w:eastAsia="Courier New" w:hAnsi="Courier New"/>
          <w:sz w:val="20"/>
          <w:szCs w:val="20"/>
        </w:rPr>
        <w:t xml:space="preserve">  vpc/                 — VPC, subnets, route tables</w:t>
      </w:r>
    </w:p>
    <w:p>
      <w:pPr>
        <w:spacing w:after="120"/>
      </w:pPr>
      <w:r>
        <w:rPr>
          <w:rFonts w:ascii="Courier New" w:cs="Courier New" w:eastAsia="Courier New" w:hAnsi="Courier New"/>
          <w:sz w:val="20"/>
          <w:szCs w:val="20"/>
        </w:rPr>
        <w:t xml:space="preserve">  inspection-vpc/      — Inspection VPC with firewall subnets</w:t>
      </w:r>
    </w:p>
    <w:p>
      <w:pPr>
        <w:spacing w:after="120"/>
      </w:pPr>
      <w:r>
        <w:rPr>
          <w:rFonts w:ascii="Courier New" w:cs="Courier New" w:eastAsia="Courier New" w:hAnsi="Courier New"/>
          <w:sz w:val="20"/>
          <w:szCs w:val="20"/>
        </w:rPr>
        <w:t xml:space="preserve">  network-firewall/    — AWS Network Firewall or NVA config</w:t>
      </w:r>
    </w:p>
    <w:p>
      <w:pPr>
        <w:spacing w:after="120"/>
      </w:pPr>
      <w:r>
        <w:rPr>
          <w:rFonts w:ascii="Courier New" w:cs="Courier New" w:eastAsia="Courier New" w:hAnsi="Courier New"/>
          <w:sz w:val="20"/>
          <w:szCs w:val="20"/>
        </w:rPr>
        <w:t xml:space="preserve">  dxgw/                — Direct Connect Gateway per region</w:t>
      </w:r>
    </w:p>
    <w:p>
      <w:pPr>
        <w:spacing w:after="120"/>
      </w:pPr>
      <w:r>
        <w:rPr>
          <w:rFonts w:ascii="Courier New" w:cs="Courier New" w:eastAsia="Courier New" w:hAnsi="Courier New"/>
          <w:sz w:val="20"/>
          <w:szCs w:val="20"/>
        </w:rPr>
        <w:t xml:space="preserve">  dx-connection/       — DX connections and VIFs</w:t>
      </w:r>
    </w:p>
    <w:p>
      <w:pPr>
        <w:spacing w:after="120"/>
      </w:pPr>
      <w:r>
        <w:rPr>
          <w:rFonts w:ascii="Courier New" w:cs="Courier New" w:eastAsia="Courier New" w:hAnsi="Courier New"/>
          <w:sz w:val="20"/>
          <w:szCs w:val="20"/>
        </w:rPr>
        <w:t xml:space="preserve">  ibb-segment/         — IBB C-WAN segment and policies</w:t>
      </w:r>
    </w:p>
    <w:p>
      <w:r>
        <w:br w:type="page"/>
      </w:r>
    </w:p>
    <w:p>
      <w:pPr>
        <w:pStyle w:val="Heading1"/>
        <w:spacing w:after="120" w:before="360"/>
      </w:pPr>
      <w:r>
        <w:rPr>
          <w:rFonts w:ascii="Arial" w:cs="Arial" w:eastAsia="Arial" w:hAnsi="Arial"/>
          <w:b/>
          <w:bCs/>
          <w:sz w:val="32"/>
          <w:szCs w:val="32"/>
        </w:rPr>
        <w:t xml:space="preserve">Phased Deployment Runbook</w:t>
      </w:r>
    </w:p>
    <w:p>
      <w:pPr>
        <w:spacing w:after="120"/>
      </w:pPr>
      <w:r>
        <w:rPr>
          <w:rFonts w:ascii="Arial" w:cs="Arial" w:eastAsia="Arial" w:hAnsi="Arial"/>
          <w:sz w:val="22"/>
          <w:szCs w:val="22"/>
        </w:rPr>
        <w:t xml:space="preserve">The lab buildout is structured in sequential phases with dependencies and acceptance criteria mapped to Design Requirements (DRs).</w:t>
      </w:r>
    </w:p>
    <w:p/>
    <w:p>
      <w:pPr>
        <w:pStyle w:val="Heading2"/>
        <w:spacing w:after="120" w:before="240"/>
      </w:pPr>
      <w:r>
        <w:rPr>
          <w:rFonts w:ascii="Arial" w:cs="Arial" w:eastAsia="Arial" w:hAnsi="Arial"/>
          <w:b/>
          <w:bCs/>
          <w:sz w:val="28"/>
          <w:szCs w:val="28"/>
        </w:rPr>
        <w:t xml:space="preserve">Phase 1: C-WAN Core Network &amp; Segments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AWS account provisioned, Terraform Enterprise workspace configured, GitLab runner operational</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4.1, DR 2.10</w:t>
      </w:r>
    </w:p>
    <w:p>
      <w:pPr>
        <w:pStyle w:val="ListParagraph"/>
        <w:numPr>
          <w:ilvl w:val="0"/>
          <w:numId w:val="2"/>
        </w:numPr>
        <w:spacing w:after="60"/>
      </w:pPr>
      <w:r>
        <w:rPr>
          <w:rFonts w:ascii="Arial" w:cs="Arial" w:eastAsia="Arial" w:hAnsi="Arial"/>
          <w:sz w:val="22"/>
          <w:szCs w:val="22"/>
        </w:rPr>
        <w:t xml:space="preserve">Deploy C-WAN core network with global policy document</w:t>
      </w:r>
    </w:p>
    <w:p>
      <w:pPr>
        <w:pStyle w:val="ListParagraph"/>
        <w:numPr>
          <w:ilvl w:val="0"/>
          <w:numId w:val="2"/>
        </w:numPr>
        <w:spacing w:after="60"/>
      </w:pPr>
      <w:r>
        <w:rPr>
          <w:rFonts w:ascii="Arial" w:cs="Arial" w:eastAsia="Arial" w:hAnsi="Arial"/>
          <w:sz w:val="22"/>
          <w:szCs w:val="22"/>
        </w:rPr>
        <w:t xml:space="preserve">Create Prod, Non-Prod, Shared Services (peered to Prod + Non-Prod), and IBB segments across all three regions</w:t>
      </w:r>
    </w:p>
    <w:p>
      <w:pPr>
        <w:pStyle w:val="ListParagraph"/>
        <w:numPr>
          <w:ilvl w:val="0"/>
          <w:numId w:val="2"/>
        </w:numPr>
        <w:spacing w:after="60"/>
      </w:pPr>
      <w:r>
        <w:rPr>
          <w:rFonts w:ascii="Arial" w:cs="Arial" w:eastAsia="Arial" w:hAnsi="Arial"/>
          <w:sz w:val="22"/>
          <w:szCs w:val="22"/>
        </w:rPr>
        <w:t xml:space="preserve">Deploy CNEs: CNE-US-East, CNE-APAC-Sydney, CNE-EMEA-Frankfurt</w:t>
      </w:r>
    </w:p>
    <w:p>
      <w:pPr>
        <w:pStyle w:val="ListParagraph"/>
        <w:numPr>
          <w:ilvl w:val="0"/>
          <w:numId w:val="2"/>
        </w:numPr>
        <w:spacing w:after="60"/>
      </w:pPr>
      <w:r>
        <w:rPr>
          <w:rFonts w:ascii="Arial" w:cs="Arial" w:eastAsia="Arial" w:hAnsi="Arial"/>
          <w:sz w:val="22"/>
          <w:szCs w:val="22"/>
        </w:rPr>
        <w:t xml:space="preserve">Validate segment health and CNE state via console/API</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All CNEs Available; four segments visible in all regions; Terraform state clean.</w:t>
      </w:r>
    </w:p>
    <w:p/>
    <w:p>
      <w:pPr>
        <w:pStyle w:val="Heading2"/>
        <w:spacing w:after="120" w:before="240"/>
      </w:pPr>
      <w:r>
        <w:rPr>
          <w:rFonts w:ascii="Arial" w:cs="Arial" w:eastAsia="Arial" w:hAnsi="Arial"/>
          <w:b/>
          <w:bCs/>
          <w:sz w:val="28"/>
          <w:szCs w:val="28"/>
        </w:rPr>
        <w:t xml:space="preserve">Phase 2: VPC Deployment &amp; Intra-Region Routing</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1 complete</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1.1, DR 2.1, DR 2.10</w:t>
      </w:r>
    </w:p>
    <w:p>
      <w:pPr>
        <w:pStyle w:val="ListParagraph"/>
        <w:numPr>
          <w:ilvl w:val="0"/>
          <w:numId w:val="2"/>
        </w:numPr>
        <w:spacing w:after="60"/>
      </w:pPr>
      <w:r>
        <w:rPr>
          <w:rFonts w:ascii="Arial" w:cs="Arial" w:eastAsia="Arial" w:hAnsi="Arial"/>
          <w:sz w:val="22"/>
          <w:szCs w:val="22"/>
        </w:rPr>
        <w:t xml:space="preserve">us-east-1: Deploy Prod (10.20.0.0/21), Non-Prod (10.21.0.0/21), Inspection (10.22.0.0/22), Shared Services (TBD)</w:t>
      </w:r>
    </w:p>
    <w:p>
      <w:pPr>
        <w:pStyle w:val="ListParagraph"/>
        <w:numPr>
          <w:ilvl w:val="0"/>
          <w:numId w:val="2"/>
        </w:numPr>
        <w:spacing w:after="60"/>
      </w:pPr>
      <w:r>
        <w:rPr>
          <w:rFonts w:ascii="Arial" w:cs="Arial" w:eastAsia="Arial" w:hAnsi="Arial"/>
          <w:sz w:val="22"/>
          <w:szCs w:val="22"/>
        </w:rPr>
        <w:t xml:space="preserve">ap-southeast-2: Deploy Prod (10.30.0.0/21), Inspection (10.32.0.0/22)</w:t>
      </w:r>
    </w:p>
    <w:p>
      <w:pPr>
        <w:pStyle w:val="ListParagraph"/>
        <w:numPr>
          <w:ilvl w:val="0"/>
          <w:numId w:val="2"/>
        </w:numPr>
        <w:spacing w:after="60"/>
      </w:pPr>
      <w:r>
        <w:rPr>
          <w:rFonts w:ascii="Arial" w:cs="Arial" w:eastAsia="Arial" w:hAnsi="Arial"/>
          <w:sz w:val="22"/>
          <w:szCs w:val="22"/>
        </w:rPr>
        <w:t xml:space="preserve">eu-central-1: Deploy Prod (TBD), Non-Prod (TBD), Inspection (TBD)</w:t>
      </w:r>
    </w:p>
    <w:p>
      <w:pPr>
        <w:pStyle w:val="ListParagraph"/>
        <w:numPr>
          <w:ilvl w:val="0"/>
          <w:numId w:val="2"/>
        </w:numPr>
        <w:spacing w:after="60"/>
      </w:pPr>
      <w:r>
        <w:rPr>
          <w:rFonts w:ascii="Arial" w:cs="Arial" w:eastAsia="Arial" w:hAnsi="Arial"/>
          <w:sz w:val="22"/>
          <w:szCs w:val="22"/>
        </w:rPr>
        <w:t xml:space="preserve">Attach Prod VPCs to Prod segment, Non-Prod VPCs to Non-Prod segment, Shared Services to Shared Services segment</w:t>
      </w:r>
    </w:p>
    <w:p>
      <w:pPr>
        <w:pStyle w:val="ListParagraph"/>
        <w:numPr>
          <w:ilvl w:val="0"/>
          <w:numId w:val="2"/>
        </w:numPr>
        <w:spacing w:after="60"/>
      </w:pPr>
      <w:r>
        <w:rPr>
          <w:rFonts w:ascii="Arial" w:cs="Arial" w:eastAsia="Arial" w:hAnsi="Arial"/>
          <w:sz w:val="22"/>
          <w:szCs w:val="22"/>
        </w:rPr>
        <w:t xml:space="preserve">Configure Shared Services segment peering to both Prod and Non-Prod segments</w:t>
      </w:r>
    </w:p>
    <w:p>
      <w:pPr>
        <w:pStyle w:val="ListParagraph"/>
        <w:numPr>
          <w:ilvl w:val="0"/>
          <w:numId w:val="2"/>
        </w:numPr>
        <w:spacing w:after="60"/>
      </w:pPr>
      <w:r>
        <w:rPr>
          <w:rFonts w:ascii="Arial" w:cs="Arial" w:eastAsia="Arial" w:hAnsi="Arial"/>
          <w:sz w:val="22"/>
          <w:szCs w:val="22"/>
        </w:rPr>
        <w:t xml:space="preserve">Attach Inspection VPCs as separate C-WAN attachments</w:t>
      </w:r>
    </w:p>
    <w:p>
      <w:pPr>
        <w:pStyle w:val="ListParagraph"/>
        <w:numPr>
          <w:ilvl w:val="0"/>
          <w:numId w:val="2"/>
        </w:numPr>
        <w:spacing w:after="60"/>
      </w:pPr>
      <w:r>
        <w:rPr>
          <w:rFonts w:ascii="Arial" w:cs="Arial" w:eastAsia="Arial" w:hAnsi="Arial"/>
          <w:sz w:val="22"/>
          <w:szCs w:val="22"/>
        </w:rPr>
        <w:t xml:space="preserve">Deploy EC2 test instances in each VPC for connectivity validation</w:t>
      </w:r>
    </w:p>
    <w:p>
      <w:pPr>
        <w:pStyle w:val="ListParagraph"/>
        <w:numPr>
          <w:ilvl w:val="0"/>
          <w:numId w:val="2"/>
        </w:numPr>
        <w:spacing w:after="60"/>
      </w:pPr>
      <w:r>
        <w:rPr>
          <w:rFonts w:ascii="Arial" w:cs="Arial" w:eastAsia="Arial" w:hAnsi="Arial"/>
          <w:sz w:val="22"/>
          <w:szCs w:val="22"/>
        </w:rPr>
        <w:t xml:space="preserve">Validate segment isolation: Prod cannot reach Non-Prod directly</w:t>
      </w:r>
    </w:p>
    <w:p>
      <w:pPr>
        <w:pStyle w:val="ListParagraph"/>
        <w:numPr>
          <w:ilvl w:val="0"/>
          <w:numId w:val="2"/>
        </w:numPr>
        <w:spacing w:after="60"/>
      </w:pPr>
      <w:r>
        <w:rPr>
          <w:rFonts w:ascii="Arial" w:cs="Arial" w:eastAsia="Arial" w:hAnsi="Arial"/>
          <w:sz w:val="22"/>
          <w:szCs w:val="22"/>
        </w:rPr>
        <w:t xml:space="preserve">Validate Shared Services reachable from both Prod and Non-Prod via peering</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Routes in correct segments; Prod/Non-Prod isolated; Shared Services peered to both; Inspection attachments visible.</w:t>
      </w:r>
    </w:p>
    <w:p/>
    <w:p>
      <w:pPr>
        <w:pStyle w:val="Heading2"/>
        <w:spacing w:after="120" w:before="240"/>
      </w:pPr>
      <w:r>
        <w:rPr>
          <w:rFonts w:ascii="Arial" w:cs="Arial" w:eastAsia="Arial" w:hAnsi="Arial"/>
          <w:b/>
          <w:bCs/>
          <w:sz w:val="28"/>
          <w:szCs w:val="28"/>
        </w:rPr>
        <w:t xml:space="preserve">Phase 3: Cross-Region C-WAN Routing</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2 complete</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1.2, DR 2.2, DR 2.9</w:t>
      </w:r>
    </w:p>
    <w:p>
      <w:pPr>
        <w:pStyle w:val="ListParagraph"/>
        <w:numPr>
          <w:ilvl w:val="0"/>
          <w:numId w:val="2"/>
        </w:numPr>
        <w:spacing w:after="60"/>
      </w:pPr>
      <w:r>
        <w:rPr>
          <w:rFonts w:ascii="Arial" w:cs="Arial" w:eastAsia="Arial" w:hAnsi="Arial"/>
          <w:sz w:val="22"/>
          <w:szCs w:val="22"/>
        </w:rPr>
        <w:t xml:space="preserve">Validate C-WAN propagates VPC routes between CNEs across all three regions</w:t>
      </w:r>
    </w:p>
    <w:p>
      <w:pPr>
        <w:pStyle w:val="ListParagraph"/>
        <w:numPr>
          <w:ilvl w:val="0"/>
          <w:numId w:val="2"/>
        </w:numPr>
        <w:spacing w:after="60"/>
      </w:pPr>
      <w:r>
        <w:rPr>
          <w:rFonts w:ascii="Arial" w:cs="Arial" w:eastAsia="Arial" w:hAnsi="Arial"/>
          <w:sz w:val="22"/>
          <w:szCs w:val="22"/>
        </w:rPr>
        <w:t xml:space="preserve">Test cross-region connectivity: us-east-1 ↔ ap-southeast-2, us-east-1 ↔ eu-central-1, ap-southeast-2 ↔ eu-central-1</w:t>
      </w:r>
    </w:p>
    <w:p>
      <w:pPr>
        <w:pStyle w:val="ListParagraph"/>
        <w:numPr>
          <w:ilvl w:val="0"/>
          <w:numId w:val="2"/>
        </w:numPr>
        <w:spacing w:after="60"/>
      </w:pPr>
      <w:r>
        <w:rPr>
          <w:rFonts w:ascii="Arial" w:cs="Arial" w:eastAsia="Arial" w:hAnsi="Arial"/>
          <w:sz w:val="22"/>
          <w:szCs w:val="22"/>
        </w:rPr>
        <w:t xml:space="preserve">Verify route tables via API/CLI (aws networkmanager get-network-routes)</w:t>
      </w:r>
    </w:p>
    <w:p>
      <w:pPr>
        <w:pStyle w:val="ListParagraph"/>
        <w:numPr>
          <w:ilvl w:val="0"/>
          <w:numId w:val="2"/>
        </w:numPr>
        <w:spacing w:after="60"/>
      </w:pPr>
      <w:r>
        <w:rPr>
          <w:rFonts w:ascii="Arial" w:cs="Arial" w:eastAsia="Arial" w:hAnsi="Arial"/>
          <w:sz w:val="22"/>
          <w:szCs w:val="22"/>
        </w:rPr>
        <w:t xml:space="preserve">Measure cross-region latency baselines</w:t>
      </w:r>
    </w:p>
    <w:p>
      <w:pPr>
        <w:pStyle w:val="ListParagraph"/>
        <w:numPr>
          <w:ilvl w:val="0"/>
          <w:numId w:val="2"/>
        </w:numPr>
        <w:spacing w:after="60"/>
      </w:pPr>
      <w:r>
        <w:rPr>
          <w:rFonts w:ascii="Arial" w:cs="Arial" w:eastAsia="Arial" w:hAnsi="Arial"/>
          <w:sz w:val="22"/>
          <w:szCs w:val="22"/>
        </w:rPr>
        <w:t xml:space="preserve">Confirm VPC routes do NOT leak to DXGW attachments</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Full mesh ping across all three regions; route tables correct; no DXGW leakage.</w:t>
      </w:r>
    </w:p>
    <w:p/>
    <w:p>
      <w:pPr>
        <w:pStyle w:val="Heading2"/>
        <w:spacing w:after="120" w:before="240"/>
      </w:pPr>
      <w:r>
        <w:rPr>
          <w:rFonts w:ascii="Arial" w:cs="Arial" w:eastAsia="Arial" w:hAnsi="Arial"/>
          <w:b/>
          <w:bCs/>
          <w:sz w:val="28"/>
          <w:szCs w:val="28"/>
        </w:rPr>
        <w:t xml:space="preserve">Phase 4: Split DXGW &amp; Direct Connect Integration</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3 complete, Megaport circuit delivered (target: March 20)</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1.3, DR 1.4, DR 2.3, DR 1.9, DR 1.10, DR 2.5</w:t>
      </w:r>
    </w:p>
    <w:p>
      <w:pPr>
        <w:pStyle w:val="ListParagraph"/>
        <w:numPr>
          <w:ilvl w:val="0"/>
          <w:numId w:val="2"/>
        </w:numPr>
        <w:spacing w:after="60"/>
      </w:pPr>
      <w:r>
        <w:rPr>
          <w:rFonts w:ascii="Arial" w:cs="Arial" w:eastAsia="Arial" w:hAnsi="Arial"/>
          <w:sz w:val="22"/>
          <w:szCs w:val="22"/>
        </w:rPr>
        <w:t xml:space="preserve">Create three regional DXGWs: dxgw-us, dxgw-apac, dxgw-emea</w:t>
      </w:r>
    </w:p>
    <w:p>
      <w:pPr>
        <w:pStyle w:val="ListParagraph"/>
        <w:numPr>
          <w:ilvl w:val="0"/>
          <w:numId w:val="2"/>
        </w:numPr>
        <w:spacing w:after="60"/>
      </w:pPr>
      <w:r>
        <w:rPr>
          <w:rFonts w:ascii="Arial" w:cs="Arial" w:eastAsia="Arial" w:hAnsi="Arial"/>
          <w:sz w:val="22"/>
          <w:szCs w:val="22"/>
        </w:rPr>
        <w:t xml:space="preserve">Attach DXGWs to their respective CNEs</w:t>
      </w:r>
    </w:p>
    <w:p>
      <w:pPr>
        <w:pStyle w:val="ListParagraph"/>
        <w:numPr>
          <w:ilvl w:val="0"/>
          <w:numId w:val="2"/>
        </w:numPr>
        <w:spacing w:after="60"/>
      </w:pPr>
      <w:r>
        <w:rPr>
          <w:rFonts w:ascii="Arial" w:cs="Arial" w:eastAsia="Arial" w:hAnsi="Arial"/>
          <w:sz w:val="22"/>
          <w:szCs w:val="22"/>
        </w:rPr>
        <w:t xml:space="preserve">Provision Megaport VXCs as hosted DX connections</w:t>
      </w:r>
    </w:p>
    <w:p>
      <w:pPr>
        <w:pStyle w:val="ListParagraph"/>
        <w:numPr>
          <w:ilvl w:val="0"/>
          <w:numId w:val="2"/>
        </w:numPr>
        <w:spacing w:after="60"/>
      </w:pPr>
      <w:r>
        <w:rPr>
          <w:rFonts w:ascii="Arial" w:cs="Arial" w:eastAsia="Arial" w:hAnsi="Arial"/>
          <w:sz w:val="22"/>
          <w:szCs w:val="22"/>
        </w:rPr>
        <w:t xml:space="preserve">Establish BGP peering over transit VIFs</w:t>
      </w:r>
    </w:p>
    <w:p>
      <w:pPr>
        <w:pStyle w:val="ListParagraph"/>
        <w:numPr>
          <w:ilvl w:val="0"/>
          <w:numId w:val="2"/>
        </w:numPr>
        <w:spacing w:after="60"/>
      </w:pPr>
      <w:r>
        <w:rPr>
          <w:rFonts w:ascii="Arial" w:cs="Arial" w:eastAsia="Arial" w:hAnsi="Arial"/>
          <w:sz w:val="22"/>
          <w:szCs w:val="22"/>
        </w:rPr>
        <w:t xml:space="preserve">Validate geo-affinity and DXGW failover</w:t>
      </w:r>
    </w:p>
    <w:p>
      <w:pPr>
        <w:pStyle w:val="ListParagraph"/>
        <w:numPr>
          <w:ilvl w:val="0"/>
          <w:numId w:val="2"/>
        </w:numPr>
        <w:spacing w:after="60"/>
      </w:pPr>
      <w:r>
        <w:rPr>
          <w:rFonts w:ascii="Arial" w:cs="Arial" w:eastAsia="Arial" w:hAnsi="Arial"/>
          <w:sz w:val="22"/>
          <w:szCs w:val="22"/>
        </w:rPr>
        <w:t xml:space="preserve">Confirm cross-DXGW isolation (DR 1.12)</w:t>
      </w:r>
    </w:p>
    <w:p>
      <w:pPr>
        <w:pStyle w:val="ListParagraph"/>
        <w:numPr>
          <w:ilvl w:val="0"/>
          <w:numId w:val="2"/>
        </w:numPr>
        <w:spacing w:after="60"/>
      </w:pPr>
      <w:r>
        <w:rPr>
          <w:rFonts w:ascii="Arial" w:cs="Arial" w:eastAsia="Arial" w:hAnsi="Arial"/>
          <w:sz w:val="22"/>
          <w:szCs w:val="22"/>
        </w:rPr>
        <w:t xml:space="preserve">Test BGP community tagging on advertised routes (DR 2.5)</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On-prem reachable via correct regional DXGW; no cross-geo DX leakage.</w:t>
      </w:r>
    </w:p>
    <w:p/>
    <w:p>
      <w:pPr>
        <w:pStyle w:val="Heading2"/>
        <w:spacing w:after="120" w:before="240"/>
      </w:pPr>
      <w:r>
        <w:rPr>
          <w:rFonts w:ascii="Arial" w:cs="Arial" w:eastAsia="Arial" w:hAnsi="Arial"/>
          <w:b/>
          <w:bCs/>
          <w:sz w:val="28"/>
          <w:szCs w:val="28"/>
        </w:rPr>
        <w:t xml:space="preserve">Phase 5: Inspection VPC &amp; Service Chaining</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2 complete (can parallel Phases 3-4)</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1.6, DR 4.8, DR 4.9</w:t>
      </w:r>
    </w:p>
    <w:p>
      <w:pPr>
        <w:pStyle w:val="ListParagraph"/>
        <w:numPr>
          <w:ilvl w:val="0"/>
          <w:numId w:val="2"/>
        </w:numPr>
        <w:spacing w:after="60"/>
      </w:pPr>
      <w:r>
        <w:rPr>
          <w:rFonts w:ascii="Arial" w:cs="Arial" w:eastAsia="Arial" w:hAnsi="Arial"/>
          <w:sz w:val="22"/>
          <w:szCs w:val="22"/>
        </w:rPr>
        <w:t xml:space="preserve">Deploy firewall in each region’s Inspection VPC (start with AWS Network Firewall)</w:t>
      </w:r>
    </w:p>
    <w:p>
      <w:pPr>
        <w:pStyle w:val="ListParagraph"/>
        <w:numPr>
          <w:ilvl w:val="0"/>
          <w:numId w:val="2"/>
        </w:numPr>
        <w:spacing w:after="60"/>
      </w:pPr>
      <w:r>
        <w:rPr>
          <w:rFonts w:ascii="Arial" w:cs="Arial" w:eastAsia="Arial" w:hAnsi="Arial"/>
          <w:sz w:val="22"/>
          <w:szCs w:val="22"/>
        </w:rPr>
        <w:t xml:space="preserve">Configure C-WAN send-to/send-via actions to steer east-west and north-south traffic through Inspection VPC</w:t>
      </w:r>
    </w:p>
    <w:p>
      <w:pPr>
        <w:pStyle w:val="ListParagraph"/>
        <w:numPr>
          <w:ilvl w:val="0"/>
          <w:numId w:val="2"/>
        </w:numPr>
        <w:spacing w:after="60"/>
      </w:pPr>
      <w:r>
        <w:rPr>
          <w:rFonts w:ascii="Arial" w:cs="Arial" w:eastAsia="Arial" w:hAnsi="Arial"/>
          <w:sz w:val="22"/>
          <w:szCs w:val="22"/>
        </w:rPr>
        <w:t xml:space="preserve">Validate firewall logs show inspected flows</w:t>
      </w:r>
    </w:p>
    <w:p>
      <w:pPr>
        <w:pStyle w:val="ListParagraph"/>
        <w:numPr>
          <w:ilvl w:val="0"/>
          <w:numId w:val="2"/>
        </w:numPr>
        <w:spacing w:after="60"/>
      </w:pPr>
      <w:r>
        <w:rPr>
          <w:rFonts w:ascii="Arial" w:cs="Arial" w:eastAsia="Arial" w:hAnsi="Arial"/>
          <w:sz w:val="22"/>
          <w:szCs w:val="22"/>
        </w:rPr>
        <w:t xml:space="preserve">Test traffic blackhole when firewall removed (no bypass path)</w:t>
      </w:r>
    </w:p>
    <w:p>
      <w:pPr>
        <w:pStyle w:val="ListParagraph"/>
        <w:numPr>
          <w:ilvl w:val="0"/>
          <w:numId w:val="2"/>
        </w:numPr>
        <w:spacing w:after="60"/>
      </w:pPr>
      <w:r>
        <w:rPr>
          <w:rFonts w:ascii="Arial" w:cs="Arial" w:eastAsia="Arial" w:hAnsi="Arial"/>
          <w:sz w:val="22"/>
          <w:szCs w:val="22"/>
        </w:rPr>
        <w:t xml:space="preserve">Optionally test third-party NVA (CheckPoint, Palo Alto) as alternative in one region</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All east-west/north-south traffic through Inspection VPC; firewall logs confirm; no bypass.</w:t>
      </w:r>
    </w:p>
    <w:p/>
    <w:p>
      <w:pPr>
        <w:pStyle w:val="Heading2"/>
        <w:spacing w:after="120" w:before="240"/>
      </w:pPr>
      <w:r>
        <w:rPr>
          <w:rFonts w:ascii="Arial" w:cs="Arial" w:eastAsia="Arial" w:hAnsi="Arial"/>
          <w:b/>
          <w:bCs/>
          <w:sz w:val="28"/>
          <w:szCs w:val="28"/>
        </w:rPr>
        <w:t xml:space="preserve">Phase 6: IBB Replacement Architecture (Post-Versa)</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4 complete</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1.5, DR 1.11, DR 1.12</w:t>
      </w:r>
    </w:p>
    <w:p>
      <w:pPr>
        <w:pStyle w:val="ListParagraph"/>
        <w:numPr>
          <w:ilvl w:val="0"/>
          <w:numId w:val="2"/>
        </w:numPr>
        <w:spacing w:after="60"/>
      </w:pPr>
      <w:r>
        <w:rPr>
          <w:rFonts w:ascii="Arial" w:cs="Arial" w:eastAsia="Arial" w:hAnsi="Arial"/>
          <w:sz w:val="22"/>
          <w:szCs w:val="22"/>
        </w:rPr>
        <w:t xml:space="preserve">Deploy IBB C-WAN segment with dedicated route policies</w:t>
      </w:r>
    </w:p>
    <w:p>
      <w:pPr>
        <w:pStyle w:val="ListParagraph"/>
        <w:numPr>
          <w:ilvl w:val="0"/>
          <w:numId w:val="2"/>
        </w:numPr>
        <w:spacing w:after="60"/>
      </w:pPr>
      <w:r>
        <w:rPr>
          <w:rFonts w:ascii="Arial" w:cs="Arial" w:eastAsia="Arial" w:hAnsi="Arial"/>
          <w:sz w:val="22"/>
          <w:szCs w:val="22"/>
        </w:rPr>
        <w:t xml:space="preserve">Test candidate IBB approaches:</w:t>
      </w:r>
    </w:p>
    <w:p>
      <w:pPr>
        <w:pStyle w:val="ListParagraph"/>
        <w:numPr>
          <w:ilvl w:val="0"/>
          <w:numId w:val="3"/>
        </w:numPr>
        <w:spacing w:after="60"/>
      </w:pPr>
      <w:r>
        <w:rPr>
          <w:rFonts w:ascii="Arial" w:cs="Arial" w:eastAsia="Arial" w:hAnsi="Arial"/>
          <w:b/>
          <w:bCs/>
          <w:sz w:val="22"/>
          <w:szCs w:val="22"/>
        </w:rPr>
        <w:t xml:space="preserve">Option A: </w:t>
      </w:r>
      <w:r>
        <w:rPr>
          <w:rFonts w:ascii="Arial" w:cs="Arial" w:eastAsia="Arial" w:hAnsi="Arial"/>
          <w:sz w:val="22"/>
          <w:szCs w:val="22"/>
        </w:rPr>
        <w:t xml:space="preserve">C-WAN IBB segment with route policies restricting international traffic to approved paths</w:t>
      </w:r>
    </w:p>
    <w:p>
      <w:pPr>
        <w:pStyle w:val="ListParagraph"/>
        <w:numPr>
          <w:ilvl w:val="0"/>
          <w:numId w:val="3"/>
        </w:numPr>
        <w:spacing w:after="60"/>
      </w:pPr>
      <w:r>
        <w:rPr>
          <w:rFonts w:ascii="Arial" w:cs="Arial" w:eastAsia="Arial" w:hAnsi="Arial"/>
          <w:b/>
          <w:bCs/>
          <w:sz w:val="22"/>
          <w:szCs w:val="22"/>
        </w:rPr>
        <w:t xml:space="preserve">Option B: </w:t>
      </w:r>
      <w:r>
        <w:rPr>
          <w:rFonts w:ascii="Arial" w:cs="Arial" w:eastAsia="Arial" w:hAnsi="Arial"/>
          <w:sz w:val="22"/>
          <w:szCs w:val="22"/>
        </w:rPr>
        <w:t xml:space="preserve">Accelerated Site-to-Site VPN tunnels for encrypted cross-region IBB underlay</w:t>
      </w:r>
    </w:p>
    <w:p>
      <w:pPr>
        <w:pStyle w:val="ListParagraph"/>
        <w:numPr>
          <w:ilvl w:val="0"/>
          <w:numId w:val="3"/>
        </w:numPr>
        <w:spacing w:after="60"/>
      </w:pPr>
      <w:r>
        <w:rPr>
          <w:rFonts w:ascii="Arial" w:cs="Arial" w:eastAsia="Arial" w:hAnsi="Arial"/>
          <w:b/>
          <w:bCs/>
          <w:sz w:val="22"/>
          <w:szCs w:val="22"/>
        </w:rPr>
        <w:t xml:space="preserve">Option C: </w:t>
      </w:r>
      <w:r>
        <w:rPr>
          <w:rFonts w:ascii="Arial" w:cs="Arial" w:eastAsia="Arial" w:hAnsi="Arial"/>
          <w:sz w:val="22"/>
          <w:szCs w:val="22"/>
        </w:rPr>
        <w:t xml:space="preserve">Public VIF on existing DX for IBB overlay</w:t>
      </w:r>
    </w:p>
    <w:p>
      <w:pPr>
        <w:pStyle w:val="ListParagraph"/>
        <w:numPr>
          <w:ilvl w:val="0"/>
          <w:numId w:val="2"/>
        </w:numPr>
        <w:spacing w:after="60"/>
      </w:pPr>
      <w:r>
        <w:rPr>
          <w:rFonts w:ascii="Arial" w:cs="Arial" w:eastAsia="Arial" w:hAnsi="Arial"/>
          <w:sz w:val="22"/>
          <w:szCs w:val="22"/>
        </w:rPr>
        <w:t xml:space="preserve">Validate international traffic paths and geopolitical routing constraints</w:t>
      </w:r>
    </w:p>
    <w:p>
      <w:pPr>
        <w:pStyle w:val="ListParagraph"/>
        <w:numPr>
          <w:ilvl w:val="0"/>
          <w:numId w:val="2"/>
        </w:numPr>
        <w:spacing w:after="60"/>
      </w:pPr>
      <w:r>
        <w:rPr>
          <w:rFonts w:ascii="Arial" w:cs="Arial" w:eastAsia="Arial" w:hAnsi="Arial"/>
          <w:sz w:val="22"/>
          <w:szCs w:val="22"/>
        </w:rPr>
        <w:t xml:space="preserve">Document recommendation with pros/cons matrix</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At least one IBB approach validated end-to-end with encryption; geopolitical constraints enforced.</w:t>
      </w:r>
    </w:p>
    <w:p/>
    <w:p>
      <w:pPr>
        <w:pStyle w:val="Heading2"/>
        <w:spacing w:after="120" w:before="240"/>
      </w:pPr>
      <w:r>
        <w:rPr>
          <w:rFonts w:ascii="Arial" w:cs="Arial" w:eastAsia="Arial" w:hAnsi="Arial"/>
          <w:b/>
          <w:bCs/>
          <w:sz w:val="28"/>
          <w:szCs w:val="28"/>
        </w:rPr>
        <w:t xml:space="preserve">Phase 7: Observability &amp; Telemetry</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3+ (can parallel Phases 4-6)</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3.1, DR 3.3, DR 3.4</w:t>
      </w:r>
    </w:p>
    <w:p/>
    <w:p>
      <w:pPr>
        <w:spacing w:after="120"/>
      </w:pPr>
      <w:r>
        <w:rPr>
          <w:rFonts w:ascii="Arial" w:cs="Arial" w:eastAsia="Arial" w:hAnsi="Arial"/>
          <w:b/>
          <w:bCs/>
          <w:sz w:val="22"/>
          <w:szCs w:val="22"/>
        </w:rPr>
        <w:t xml:space="preserve">Target State (Cloud-Agnostic):</w:t>
      </w:r>
    </w:p>
    <w:p>
      <w:pPr>
        <w:pStyle w:val="ListParagraph"/>
        <w:numPr>
          <w:ilvl w:val="0"/>
          <w:numId w:val="2"/>
        </w:numPr>
        <w:spacing w:after="60"/>
      </w:pPr>
      <w:r>
        <w:rPr>
          <w:rFonts w:ascii="Arial" w:cs="Arial" w:eastAsia="Arial" w:hAnsi="Arial"/>
          <w:sz w:val="22"/>
          <w:szCs w:val="22"/>
        </w:rPr>
        <w:t xml:space="preserve">ThousandEyes — Network path visualization, latency monitoring across all CSPs</w:t>
      </w:r>
    </w:p>
    <w:p>
      <w:pPr>
        <w:pStyle w:val="ListParagraph"/>
        <w:numPr>
          <w:ilvl w:val="0"/>
          <w:numId w:val="2"/>
        </w:numPr>
        <w:spacing w:after="60"/>
      </w:pPr>
      <w:r>
        <w:rPr>
          <w:rFonts w:ascii="Arial" w:cs="Arial" w:eastAsia="Arial" w:hAnsi="Arial"/>
          <w:sz w:val="22"/>
          <w:szCs w:val="22"/>
        </w:rPr>
        <w:t xml:space="preserve">Splunk — Centralized log aggregation for flow logs, firewall logs, C-WAN events</w:t>
      </w:r>
    </w:p>
    <w:p>
      <w:pPr>
        <w:pStyle w:val="ListParagraph"/>
        <w:numPr>
          <w:ilvl w:val="0"/>
          <w:numId w:val="2"/>
        </w:numPr>
        <w:spacing w:after="60"/>
      </w:pPr>
      <w:r>
        <w:rPr>
          <w:rFonts w:ascii="Arial" w:cs="Arial" w:eastAsia="Arial" w:hAnsi="Arial"/>
          <w:sz w:val="22"/>
          <w:szCs w:val="22"/>
        </w:rPr>
        <w:t xml:space="preserve">Selector AI — AIOps anomaly detection and automated root cause analysis</w:t>
      </w:r>
    </w:p>
    <w:p/>
    <w:p>
      <w:pPr>
        <w:spacing w:after="120"/>
      </w:pPr>
      <w:r>
        <w:rPr>
          <w:rFonts w:ascii="Arial" w:cs="Arial" w:eastAsia="Arial" w:hAnsi="Arial"/>
          <w:b/>
          <w:bCs/>
          <w:sz w:val="22"/>
          <w:szCs w:val="22"/>
        </w:rPr>
        <w:t xml:space="preserve">Interim Lab (AWS Native):</w:t>
      </w:r>
    </w:p>
    <w:p>
      <w:pPr>
        <w:pStyle w:val="ListParagraph"/>
        <w:numPr>
          <w:ilvl w:val="0"/>
          <w:numId w:val="2"/>
        </w:numPr>
        <w:spacing w:after="60"/>
      </w:pPr>
      <w:r>
        <w:rPr>
          <w:rFonts w:ascii="Arial" w:cs="Arial" w:eastAsia="Arial" w:hAnsi="Arial"/>
          <w:sz w:val="22"/>
          <w:szCs w:val="22"/>
        </w:rPr>
        <w:t xml:space="preserve">CloudWatch metrics for C-WAN (bytes in/out, packet counts per attachment)</w:t>
      </w:r>
    </w:p>
    <w:p>
      <w:pPr>
        <w:pStyle w:val="ListParagraph"/>
        <w:numPr>
          <w:ilvl w:val="0"/>
          <w:numId w:val="2"/>
        </w:numPr>
        <w:spacing w:after="60"/>
      </w:pPr>
      <w:r>
        <w:rPr>
          <w:rFonts w:ascii="Arial" w:cs="Arial" w:eastAsia="Arial" w:hAnsi="Arial"/>
          <w:sz w:val="22"/>
          <w:szCs w:val="22"/>
        </w:rPr>
        <w:t xml:space="preserve">VPC Flow Logs for all lab VPCs (S3 + CloudWatch Logs)</w:t>
      </w:r>
    </w:p>
    <w:p>
      <w:pPr>
        <w:pStyle w:val="ListParagraph"/>
        <w:numPr>
          <w:ilvl w:val="0"/>
          <w:numId w:val="2"/>
        </w:numPr>
        <w:spacing w:after="60"/>
      </w:pPr>
      <w:r>
        <w:rPr>
          <w:rFonts w:ascii="Arial" w:cs="Arial" w:eastAsia="Arial" w:hAnsi="Arial"/>
          <w:sz w:val="22"/>
          <w:szCs w:val="22"/>
        </w:rPr>
        <w:t xml:space="preserve">Network Manager route analytics and topology visualization</w:t>
      </w:r>
    </w:p>
    <w:p>
      <w:pPr>
        <w:pStyle w:val="ListParagraph"/>
        <w:numPr>
          <w:ilvl w:val="0"/>
          <w:numId w:val="2"/>
        </w:numPr>
        <w:spacing w:after="60"/>
      </w:pPr>
      <w:r>
        <w:rPr>
          <w:rFonts w:ascii="Arial" w:cs="Arial" w:eastAsia="Arial" w:hAnsi="Arial"/>
          <w:sz w:val="22"/>
          <w:szCs w:val="22"/>
        </w:rPr>
        <w:t xml:space="preserve">CloudWatch alarms for DX connection state changes</w:t>
      </w:r>
    </w:p>
    <w:p>
      <w:pPr>
        <w:pStyle w:val="ListParagraph"/>
        <w:numPr>
          <w:ilvl w:val="0"/>
          <w:numId w:val="2"/>
        </w:numPr>
        <w:spacing w:after="60"/>
      </w:pPr>
      <w:r>
        <w:rPr>
          <w:rFonts w:ascii="Arial" w:cs="Arial" w:eastAsia="Arial" w:hAnsi="Arial"/>
          <w:sz w:val="22"/>
          <w:szCs w:val="22"/>
        </w:rPr>
        <w:t xml:space="preserve">AWS Network Firewall logs (alert + flow) from Inspection VPCs</w:t>
      </w:r>
    </w:p>
    <w:p>
      <w:pPr>
        <w:pStyle w:val="ListParagraph"/>
        <w:numPr>
          <w:ilvl w:val="0"/>
          <w:numId w:val="2"/>
        </w:numPr>
        <w:spacing w:after="60"/>
      </w:pPr>
      <w:r>
        <w:rPr>
          <w:rFonts w:ascii="Arial" w:cs="Arial" w:eastAsia="Arial" w:hAnsi="Arial"/>
          <w:sz w:val="22"/>
          <w:szCs w:val="22"/>
        </w:rPr>
        <w:t xml:space="preserve">Document telemetry gaps and map to target state tool capabilities</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Interim dashboards operational; gaps documented with target state mapping.</w:t>
      </w:r>
    </w:p>
    <w:p/>
    <w:p>
      <w:pPr>
        <w:pStyle w:val="Heading2"/>
        <w:spacing w:after="120" w:before="240"/>
      </w:pPr>
      <w:r>
        <w:rPr>
          <w:rFonts w:ascii="Arial" w:cs="Arial" w:eastAsia="Arial" w:hAnsi="Arial"/>
          <w:b/>
          <w:bCs/>
          <w:sz w:val="28"/>
          <w:szCs w:val="28"/>
        </w:rPr>
        <w:t xml:space="preserve">Phase 8: End-to-End Validation &amp; Stress Testing</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All previous phases complete</w:t>
      </w:r>
    </w:p>
    <w:p>
      <w:pPr>
        <w:spacing w:after="120"/>
      </w:pPr>
      <w:r>
        <w:rPr>
          <w:rFonts w:ascii="Arial" w:cs="Arial" w:eastAsia="Arial" w:hAnsi="Arial"/>
          <w:b/>
          <w:bCs/>
          <w:sz w:val="22"/>
          <w:szCs w:val="22"/>
        </w:rPr>
        <w:t xml:space="preserve">DRs: </w:t>
      </w:r>
      <w:r>
        <w:rPr>
          <w:rFonts w:ascii="Arial" w:cs="Arial" w:eastAsia="Arial" w:hAnsi="Arial"/>
          <w:sz w:val="22"/>
          <w:szCs w:val="22"/>
        </w:rPr>
        <w:t xml:space="preserve">DR 2.7, DR 2.8, DR 2.10</w:t>
      </w:r>
    </w:p>
    <w:p>
      <w:pPr>
        <w:pStyle w:val="ListParagraph"/>
        <w:numPr>
          <w:ilvl w:val="0"/>
          <w:numId w:val="2"/>
        </w:numPr>
        <w:spacing w:after="60"/>
      </w:pPr>
      <w:r>
        <w:rPr>
          <w:rFonts w:ascii="Arial" w:cs="Arial" w:eastAsia="Arial" w:hAnsi="Arial"/>
          <w:sz w:val="22"/>
          <w:szCs w:val="22"/>
        </w:rPr>
        <w:t xml:space="preserve">Full traffic flow matrix: every region to every region, every region to on-prem, all through Inspection VPCs</w:t>
      </w:r>
    </w:p>
    <w:p>
      <w:pPr>
        <w:pStyle w:val="ListParagraph"/>
        <w:numPr>
          <w:ilvl w:val="0"/>
          <w:numId w:val="2"/>
        </w:numPr>
        <w:spacing w:after="60"/>
      </w:pPr>
      <w:r>
        <w:rPr>
          <w:rFonts w:ascii="Arial" w:cs="Arial" w:eastAsia="Arial" w:hAnsi="Arial"/>
          <w:sz w:val="22"/>
          <w:szCs w:val="22"/>
        </w:rPr>
        <w:t xml:space="preserve">Blackout simulation: kill primary DX, measure convergence</w:t>
      </w:r>
    </w:p>
    <w:p>
      <w:pPr>
        <w:pStyle w:val="ListParagraph"/>
        <w:numPr>
          <w:ilvl w:val="0"/>
          <w:numId w:val="2"/>
        </w:numPr>
        <w:spacing w:after="60"/>
      </w:pPr>
      <w:r>
        <w:rPr>
          <w:rFonts w:ascii="Arial" w:cs="Arial" w:eastAsia="Arial" w:hAnsi="Arial"/>
          <w:sz w:val="22"/>
          <w:szCs w:val="22"/>
        </w:rPr>
        <w:t xml:space="preserve">Brownout simulation: inject latency/packet loss, observe routing behavior</w:t>
      </w:r>
    </w:p>
    <w:p>
      <w:pPr>
        <w:pStyle w:val="ListParagraph"/>
        <w:numPr>
          <w:ilvl w:val="0"/>
          <w:numId w:val="2"/>
        </w:numPr>
        <w:spacing w:after="60"/>
      </w:pPr>
      <w:r>
        <w:rPr>
          <w:rFonts w:ascii="Arial" w:cs="Arial" w:eastAsia="Arial" w:hAnsi="Arial"/>
          <w:sz w:val="22"/>
          <w:szCs w:val="22"/>
        </w:rPr>
        <w:t xml:space="preserve">Multi-tenancy validation: secondary segment isolation</w:t>
      </w:r>
    </w:p>
    <w:p>
      <w:pPr>
        <w:pStyle w:val="ListParagraph"/>
        <w:numPr>
          <w:ilvl w:val="0"/>
          <w:numId w:val="2"/>
        </w:numPr>
        <w:spacing w:after="60"/>
      </w:pPr>
      <w:r>
        <w:rPr>
          <w:rFonts w:ascii="Arial" w:cs="Arial" w:eastAsia="Arial" w:hAnsi="Arial"/>
          <w:sz w:val="22"/>
          <w:szCs w:val="22"/>
        </w:rPr>
        <w:t xml:space="preserve">iperf bandwidth tests across C-WAN backbone and DX connections</w:t>
      </w:r>
    </w:p>
    <w:p>
      <w:pPr>
        <w:pStyle w:val="ListParagraph"/>
        <w:numPr>
          <w:ilvl w:val="0"/>
          <w:numId w:val="2"/>
        </w:numPr>
        <w:spacing w:after="60"/>
      </w:pPr>
      <w:r>
        <w:rPr>
          <w:rFonts w:ascii="Arial" w:cs="Arial" w:eastAsia="Arial" w:hAnsi="Arial"/>
          <w:sz w:val="22"/>
          <w:szCs w:val="22"/>
        </w:rPr>
        <w:t xml:space="preserve">Compile final test results against DR matrix</w:t>
      </w:r>
    </w:p>
    <w:p>
      <w:pPr>
        <w:spacing w:after="120"/>
      </w:pPr>
      <w:r>
        <w:rPr>
          <w:rFonts w:ascii="Arial" w:cs="Arial" w:eastAsia="Arial" w:hAnsi="Arial"/>
          <w:b/>
          <w:bCs/>
          <w:sz w:val="22"/>
          <w:szCs w:val="22"/>
        </w:rPr>
        <w:t xml:space="preserve">Acceptance: </w:t>
      </w:r>
      <w:r>
        <w:rPr>
          <w:rFonts w:ascii="Arial" w:cs="Arial" w:eastAsia="Arial" w:hAnsi="Arial"/>
          <w:sz w:val="22"/>
          <w:szCs w:val="22"/>
        </w:rPr>
        <w:t xml:space="preserve">All DRs validated or documented with gaps/workarounds; final report compiled.</w:t>
      </w:r>
    </w:p>
    <w:p>
      <w:r>
        <w:br w:type="page"/>
      </w:r>
    </w:p>
    <w:p>
      <w:pPr>
        <w:pStyle w:val="Heading1"/>
        <w:spacing w:after="120" w:before="360"/>
      </w:pPr>
      <w:r>
        <w:rPr>
          <w:rFonts w:ascii="Arial" w:cs="Arial" w:eastAsia="Arial" w:hAnsi="Arial"/>
          <w:b/>
          <w:bCs/>
          <w:sz w:val="32"/>
          <w:szCs w:val="32"/>
        </w:rPr>
        <w:t xml:space="preserve">Test Cases &amp; Validation Matrix</w:t>
      </w:r>
    </w:p>
    <w:p>
      <w:pPr>
        <w:spacing w:after="120"/>
      </w:pPr>
      <w:r>
        <w:rPr>
          <w:rFonts w:ascii="Arial" w:cs="Arial" w:eastAsia="Arial" w:hAnsi="Arial"/>
          <w:sz w:val="22"/>
          <w:szCs w:val="22"/>
        </w:rPr>
        <w:t xml:space="preserve">Update Status as testing progresses.</w:t>
      </w:r>
    </w:p>
    <w:p/>
    <w:p>
      <w:pPr>
        <w:pStyle w:val="Heading2"/>
        <w:spacing w:after="120" w:before="240"/>
      </w:pPr>
      <w:r>
        <w:rPr>
          <w:rFonts w:ascii="Arial" w:cs="Arial" w:eastAsia="Arial" w:hAnsi="Arial"/>
          <w:b/>
          <w:bCs/>
          <w:sz w:val="28"/>
          <w:szCs w:val="28"/>
        </w:rPr>
        <w:t xml:space="preserve">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1000"/>
        <w:gridCol w:w="1760"/>
      </w:tblGrid>
      <w:tr>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DR</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Lab Test</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VPC-to-VPC same region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Ping Prod to Non-Prod in us-east-1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VPC-to-VPC cross-region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Ping us-east-1 Prod to Sydney Prod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to on-prem (geo affinity)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VPC reaches on-prem via dxgw-us 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VPC to on-prem (fallback)</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Disable primary DX, verify alternate path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security enforcement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through Inspection VPC firewall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ECMP support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DX on same DXGW, verify load dist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Geopolitical routing avoidance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APAC/EMEA traffic never routes via US DX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
      <w:pPr>
        <w:pStyle w:val="Heading2"/>
        <w:spacing w:after="120" w:before="240"/>
      </w:pPr>
      <w:r>
        <w:rPr>
          <w:rFonts w:ascii="Arial" w:cs="Arial" w:eastAsia="Arial" w:hAnsi="Arial"/>
          <w:b/>
          <w:bCs/>
          <w:sz w:val="28"/>
          <w:szCs w:val="28"/>
        </w:rPr>
        <w:t xml:space="preserve">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1000"/>
        <w:gridCol w:w="1760"/>
      </w:tblGrid>
      <w:tr>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DR</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Lab Test</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route propagation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routes visible in regional CNE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Cross-regional route propagation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VPC routes visible in remote CNEs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BGP community tagging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communities on DX-advertised routes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Sub-second convergence (blackout)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Kill DX link, measure convergence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routing visibility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API/CLI route table dump all regions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Multi-tenancy (VRF-like)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Prod/Non-Prod segment isolation; no route leakage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bl>
    <w:p/>
    <w:p>
      <w:pPr>
        <w:pStyle w:val="Heading2"/>
        <w:spacing w:after="120" w:before="240"/>
      </w:pPr>
      <w:r>
        <w:rPr>
          <w:rFonts w:ascii="Arial" w:cs="Arial" w:eastAsia="Arial" w:hAnsi="Arial"/>
          <w:b/>
          <w:bCs/>
          <w:sz w:val="28"/>
          <w:szCs w:val="28"/>
        </w:rPr>
        <w:t xml:space="preserve">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1000"/>
        <w:gridCol w:w="1760"/>
      </w:tblGrid>
      <w:tr>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DR</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Lab Test</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flow telemetry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 C-WAN metrics (interim); ThousandEyes (target)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Historical flow data</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VPC Flow Logs to S3 (interim); Splunk (target)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push/pull/subscription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 alarms (interim); Selector AI (target)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
      <w:pPr>
        <w:pStyle w:val="Heading2"/>
        <w:spacing w:after="120" w:before="240"/>
      </w:pPr>
      <w:r>
        <w:rPr>
          <w:rFonts w:ascii="Arial" w:cs="Arial" w:eastAsia="Arial" w:hAnsi="Arial"/>
          <w:b/>
          <w:bCs/>
          <w:sz w:val="28"/>
          <w:szCs w:val="28"/>
        </w:rPr>
        <w:t xml:space="preserve">Security &amp; Service Chaining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1000"/>
        <w:gridCol w:w="1760"/>
      </w:tblGrid>
      <w:tr>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DR</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Lab Test</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NVA integration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traffic through firewall in Inspection VPC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chaining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C-WAN send-to/send-via steers traffic to Inspection VPC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bl>
    <w:p>
      <w:r>
        <w:br w:type="page"/>
      </w:r>
    </w:p>
    <w:p>
      <w:pPr>
        <w:pStyle w:val="Heading1"/>
        <w:spacing w:after="120" w:before="360"/>
      </w:pPr>
      <w:r>
        <w:rPr>
          <w:rFonts w:ascii="Arial" w:cs="Arial" w:eastAsia="Arial" w:hAnsi="Arial"/>
          <w:b/>
          <w:bCs/>
          <w:sz w:val="32"/>
          <w:szCs w:val="32"/>
        </w:rPr>
        <w:t xml:space="preserve">Known Issues &amp; Design Decisions</w:t>
      </w:r>
    </w:p>
    <w:p>
      <w:pPr>
        <w:pStyle w:val="Heading2"/>
        <w:spacing w:after="120" w:before="240"/>
      </w:pPr>
      <w:r>
        <w:rPr>
          <w:rFonts w:ascii="Arial" w:cs="Arial" w:eastAsia="Arial" w:hAnsi="Arial"/>
          <w:b/>
          <w:bCs/>
          <w:sz w:val="28"/>
          <w:szCs w:val="28"/>
        </w:rPr>
        <w:t xml:space="preserve">Design Decisions &amp; Lab Deviations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1400"/>
        <w:gridCol w:w="1460"/>
      </w:tblGrid>
      <w:tr>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Versa SDR from IBB 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issues; evaluating cloud-native alternatives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Change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DD-002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 uses 3 regions (production has 11)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us-east-1, ap-southeast-2, eu-central-1 cover all split DXGW boundaries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Deviation</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 testing deferred (DR 4.2/4.3)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likely withdrawing NAT in favor of single GRT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Deferral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DD-004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Inspection VPC per region with AWS NFW as primary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 cloud-native, evaluate 3rd party NVA as secondary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Choice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DD-005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Cloud-agnostic observability (ThousandEyes + Splunk + Selector 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Multi-cloud needs CSP-independent monitoring; CloudWatch as interim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Choice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DD-006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eu-central-1 CIDRs distinct from US/APAC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Avoid address overlap across regions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Choice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DD-007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uses hosted DX (sub-1GE) vs production 10-100GE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routing, not capacity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DD-008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Simulated on-prem endpoints vs production S-DMZ sites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Limits failover testing fidelity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Deviation</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 interim for observability vs production TBD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Interim covers DRs; target validates multi-cloud readiness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
      <w:pPr>
        <w:pStyle w:val="Heading2"/>
        <w:spacing w:after="120" w:before="240"/>
      </w:pPr>
      <w:r>
        <w:rPr>
          <w:rFonts w:ascii="Arial" w:cs="Arial" w:eastAsia="Arial" w:hAnsi="Arial"/>
          <w:b/>
          <w:bCs/>
          <w:sz w:val="28"/>
          <w:szCs w:val="28"/>
        </w:rPr>
        <w:t xml:space="preserve">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200"/>
        <w:gridCol w:w="196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BLK-001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Megaport circuit delivery pending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Phase 4 (DX integration)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 2026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BLK-002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as identified]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999999"/>
        <w:sz w:val="16"/>
        <w:szCs w:val="16"/>
      </w:rPr>
      <w:t xml:space="preserve">World Wide Technology — Cloud Network Engineering</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18"/>
        <w:szCs w:val="18"/>
      </w:rPr>
      <w:t xml:space="preserve">MCBB 3.0 — AWS LAB BUILD</w:t>
    </w:r>
    <w:r>
      <w:ptab w:alignment="right" w:relativeTo="margin" w:leader="none"/>
    </w:r>
    <w:r>
      <w:rPr>
        <w:rFonts w:ascii="Arial" w:cs="Arial" w:eastAsia="Arial" w:hAnsi="Arial"/>
        <w:color w:val="999999"/>
        <w:sz w:val="18"/>
        <w:szCs w:val="18"/>
      </w:rPr>
      <w:t xml:space="preserve">Fiserv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DADE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2026-03-17T12:48:29.600Z</dcterms:created>
  <dcterms:modified xsi:type="dcterms:W3CDTF">2026-03-17T12:48:29.601Z</dcterms:modified>
</cp:coreProperties>
</file>

<file path=docProps/custom.xml><?xml version="1.0" encoding="utf-8"?>
<Properties xmlns="http://schemas.openxmlformats.org/officeDocument/2006/custom-properties" xmlns:vt="http://schemas.openxmlformats.org/officeDocument/2006/docPropsVTypes"/>
</file>