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MEETING MINUTES</w:t>
      </w:r>
    </w:p>
    <w:p>
      <w:pPr>
        <w:spacing w:after="80" w:before="0"/>
        <w:jc w:val="center"/>
      </w:pPr>
      <w:r>
        <w:rPr>
          <w:rFonts w:ascii="Arial" w:cs="Arial" w:eastAsia="Arial" w:hAnsi="Arial"/>
          <w:color w:val="2E74B5"/>
          <w:sz w:val="26"/>
          <w:szCs w:val="26"/>
        </w:rPr>
        <w:t xml:space="preserve">Cloud Networking Architecture Working Session</w:t>
      </w:r>
    </w:p>
    <w:p>
      <w:pPr>
        <w:spacing w:after="320" w:before="0"/>
        <w:jc w:val="center"/>
      </w:pPr>
      <w:r>
        <w:rPr>
          <w:rFonts w:ascii="Arial" w:cs="Arial" w:eastAsia="Arial" w:hAnsi="Arial"/>
          <w:i/>
          <w:iCs/>
          <w:color w:val="595959"/>
          <w:sz w:val="22"/>
          <w:szCs w:val="22"/>
        </w:rPr>
        <w:t xml:space="preserve">ESS / Shared Services in Cloud — Segmentation, IP Addressing &amp; Go-Forward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Tuesday, April 7, 2026</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recorded</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Meeting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Group / Architecture Discussion</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Participants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 (Senior Network Engineer, 30+ years tenure); Anton (Sr. Cloud/Network Architect, Australia); Shyam / China (Cloud Network Architect); Meeting Attendee (Cloud Network Architect); Laura (referenced — role not stated); Michael (Cloud Networking Lead, referenced); Andy (referenced — prior Potential/ESS work); Additional attendees joined mid-call</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ESS (Enterprise Shared Services) classification and segmentation in AWS — current state, pain points, and go-forward design approach for MCBB 3.0</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Catalyst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 documented the current ESS-in-AWS approach after receiving three requests in two weeks from teams wanting to classify AWS workloads as ESS. The document reopened foundational design questions.</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Recorded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Participant</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Cloud Networking Team</w:t>
            </w:r>
          </w:p>
        </w:tc>
      </w:tr>
    </w:tbl>
    <w:p>
      <w:pPr>
        <w:pBdr>
          <w:bottom w:val="single" w:color="2E74B5" w:sz="6" w:space="1"/>
        </w:pBdr>
        <w:spacing w:after="160" w:before="160"/>
      </w:pPr>
    </w:p>
    <w:p>
      <w:pPr>
        <w:pStyle w:val="Heading1"/>
        <w:spacing w:after="160" w:before="320"/>
      </w:pPr>
      <w:r>
        <w:rPr>
          <w:rFonts w:ascii="Arial" w:cs="Arial" w:eastAsia="Arial" w:hAnsi="Arial"/>
          <w:b/>
          <w:bCs/>
          <w:color w:val="1F4E79"/>
          <w:sz w:val="28"/>
          <w:szCs w:val="28"/>
        </w:rPr>
        <w:t xml:space="preserve">1. Background &amp; Context</w:t>
      </w:r>
    </w:p>
    <w:p>
      <w:pPr>
        <w:pStyle w:val="Heading2"/>
        <w:spacing w:after="120" w:before="240"/>
      </w:pPr>
      <w:r>
        <w:rPr>
          <w:rFonts w:ascii="Arial" w:cs="Arial" w:eastAsia="Arial" w:hAnsi="Arial"/>
          <w:b/>
          <w:bCs/>
          <w:color w:val="2E74B5"/>
          <w:sz w:val="24"/>
          <w:szCs w:val="24"/>
        </w:rPr>
        <w:t xml:space="preserve">1.1 Original AWS Transit Gateway Architecture (Pre-MCBB)</w:t>
      </w:r>
    </w:p>
    <w:p>
      <w:pPr>
        <w:spacing w:after="60" w:before="60"/>
      </w:pPr>
      <w:r>
        <w:rPr>
          <w:rFonts w:ascii="Arial" w:cs="Arial" w:eastAsia="Arial" w:hAnsi="Arial"/>
          <w:sz w:val="22"/>
          <w:szCs w:val="22"/>
        </w:rPr>
        <w:t xml:space="preserve">Scott provided historical context for participants unfamiliar with the prior design:</w:t>
      </w:r>
    </w:p>
    <w:p>
      <w:pPr>
        <w:pStyle w:val="ListParagraph"/>
        <w:numPr>
          <w:ilvl w:val="0"/>
          <w:numId w:val="2"/>
        </w:numPr>
        <w:spacing w:after="40" w:before="40"/>
      </w:pPr>
      <w:r>
        <w:rPr>
          <w:rFonts w:ascii="Arial" w:cs="Arial" w:eastAsia="Arial" w:hAnsi="Arial"/>
          <w:b w:val="false"/>
          <w:bCs w:val="false"/>
          <w:sz w:val="22"/>
          <w:szCs w:val="22"/>
        </w:rPr>
        <w:t xml:space="preserve">When the organization first adopted AWS, workloads were attached to native AWS Transit Gateways. Only two workload classifications existed: Production (Prod) and Non-Production (Non-Prod).</w:t>
      </w:r>
    </w:p>
    <w:p>
      <w:pPr>
        <w:pStyle w:val="ListParagraph"/>
        <w:numPr>
          <w:ilvl w:val="0"/>
          <w:numId w:val="2"/>
        </w:numPr>
        <w:spacing w:after="40" w:before="40"/>
      </w:pPr>
      <w:r>
        <w:rPr>
          <w:rFonts w:ascii="Arial" w:cs="Arial" w:eastAsia="Arial" w:hAnsi="Arial"/>
          <w:b w:val="false"/>
          <w:bCs w:val="false"/>
          <w:sz w:val="22"/>
          <w:szCs w:val="22"/>
        </w:rPr>
        <w:t xml:space="preserve">There were no firewalls in AWS at that time — only Network Security Groups (NSGs).</w:t>
      </w:r>
    </w:p>
    <w:p>
      <w:pPr>
        <w:pStyle w:val="ListParagraph"/>
        <w:numPr>
          <w:ilvl w:val="0"/>
          <w:numId w:val="2"/>
        </w:numPr>
        <w:spacing w:after="40" w:before="40"/>
      </w:pPr>
      <w:r>
        <w:rPr>
          <w:rFonts w:ascii="Arial" w:cs="Arial" w:eastAsia="Arial" w:hAnsi="Arial"/>
          <w:b w:val="false"/>
          <w:bCs w:val="false"/>
          <w:sz w:val="22"/>
          <w:szCs w:val="22"/>
        </w:rPr>
        <w:t xml:space="preserve">Prod and Non-Prod were expressly forbidden from communicating. This was enforced via black hole routes in the Transit Gateway route tables.</w:t>
      </w:r>
    </w:p>
    <w:p>
      <w:pPr>
        <w:pStyle w:val="ListParagraph"/>
        <w:numPr>
          <w:ilvl w:val="0"/>
          <w:numId w:val="2"/>
        </w:numPr>
        <w:spacing w:after="40" w:before="40"/>
      </w:pPr>
      <w:r>
        <w:rPr>
          <w:rFonts w:ascii="Arial" w:cs="Arial" w:eastAsia="Arial" w:hAnsi="Arial"/>
          <w:b w:val="false"/>
          <w:bCs w:val="false"/>
          <w:sz w:val="22"/>
          <w:szCs w:val="22"/>
        </w:rPr>
        <w:t xml:space="preserve">IP addressing: a /16 was assigned to AWS. The first /17 was allocated to Prod workloads; the second /17 to Non-Prod workloads. Routes to the Non-Prod /17 were black-holed for Prod traffic.</w:t>
      </w:r>
    </w:p>
    <w:p>
      <w:pPr>
        <w:pStyle w:val="Heading2"/>
        <w:spacing w:after="120" w:before="240"/>
      </w:pPr>
      <w:r>
        <w:rPr>
          <w:rFonts w:ascii="Arial" w:cs="Arial" w:eastAsia="Arial" w:hAnsi="Arial"/>
          <w:b/>
          <w:bCs/>
          <w:color w:val="2E74B5"/>
          <w:sz w:val="24"/>
          <w:szCs w:val="24"/>
        </w:rPr>
        <w:t xml:space="preserve">1.2 Introduction of MCBB and Versa Firewall Layer</w:t>
      </w:r>
    </w:p>
    <w:p>
      <w:pPr>
        <w:pStyle w:val="ListParagraph"/>
        <w:numPr>
          <w:ilvl w:val="0"/>
          <w:numId w:val="2"/>
        </w:numPr>
        <w:spacing w:after="40" w:before="40"/>
      </w:pPr>
      <w:r>
        <w:rPr>
          <w:rFonts w:ascii="Arial" w:cs="Arial" w:eastAsia="Arial" w:hAnsi="Arial"/>
          <w:b w:val="false"/>
          <w:bCs w:val="false"/>
          <w:sz w:val="22"/>
          <w:szCs w:val="22"/>
        </w:rPr>
        <w:t xml:space="preserve">When MCBB was implemented, the Transit Gateway route tables for Prod and Non-Prod were exchanged via BGP with the Versa SD-WAN devices.</w:t>
      </w:r>
    </w:p>
    <w:p>
      <w:pPr>
        <w:pStyle w:val="ListParagraph"/>
        <w:numPr>
          <w:ilvl w:val="0"/>
          <w:numId w:val="2"/>
        </w:numPr>
        <w:spacing w:after="40" w:before="40"/>
      </w:pPr>
      <w:r>
        <w:rPr>
          <w:rFonts w:ascii="Arial" w:cs="Arial" w:eastAsia="Arial" w:hAnsi="Arial"/>
          <w:b w:val="false"/>
          <w:bCs w:val="false"/>
          <w:sz w:val="22"/>
          <w:szCs w:val="22"/>
        </w:rPr>
        <w:t xml:space="preserve">This BGP exchange created the technical potential for Prod and Non-Prod to communicate through the Versa layer — the hard black hole enforcement was no longer the sole control.</w:t>
      </w:r>
    </w:p>
    <w:p>
      <w:pPr>
        <w:pStyle w:val="ListParagraph"/>
        <w:numPr>
          <w:ilvl w:val="0"/>
          <w:numId w:val="2"/>
        </w:numPr>
        <w:spacing w:after="40" w:before="40"/>
      </w:pPr>
      <w:r>
        <w:rPr>
          <w:rFonts w:ascii="Arial" w:cs="Arial" w:eastAsia="Arial" w:hAnsi="Arial"/>
          <w:b w:val="false"/>
          <w:bCs w:val="false"/>
          <w:sz w:val="22"/>
          <w:szCs w:val="22"/>
        </w:rPr>
        <w:t xml:space="preserve">To compensate, statefull firewall rules were implemented on the Versa devices to explicitly prohibit Prod-to-Non-Prod communication.</w:t>
      </w:r>
    </w:p>
    <w:p>
      <w:pPr>
        <w:pStyle w:val="ListParagraph"/>
        <w:numPr>
          <w:ilvl w:val="0"/>
          <w:numId w:val="2"/>
        </w:numPr>
        <w:spacing w:after="40" w:before="40"/>
      </w:pPr>
      <w:r>
        <w:rPr>
          <w:rFonts w:ascii="Arial" w:cs="Arial" w:eastAsia="Arial" w:hAnsi="Arial"/>
          <w:b w:val="false"/>
          <w:bCs w:val="false"/>
          <w:sz w:val="22"/>
          <w:szCs w:val="22"/>
        </w:rPr>
        <w:t xml:space="preserve">Exceptions were carved out for specific services requiring cross-environment access, including GitLab, Nexus, and certain AWS-native services.</w:t>
      </w:r>
    </w:p>
    <w:p>
      <w:pPr>
        <w:pStyle w:val="ListParagraph"/>
        <w:numPr>
          <w:ilvl w:val="0"/>
          <w:numId w:val="2"/>
        </w:numPr>
        <w:spacing w:after="40" w:before="40"/>
      </w:pPr>
      <w:r>
        <w:rPr>
          <w:rFonts w:ascii="Arial" w:cs="Arial" w:eastAsia="Arial" w:hAnsi="Arial"/>
          <w:b w:val="false"/>
          <w:bCs w:val="false"/>
          <w:sz w:val="22"/>
          <w:szCs w:val="22"/>
        </w:rPr>
        <w:t xml:space="preserve">This Versa-based enforcement is acknowledged as a temporary measure — not the intended long-term architecture.</w:t>
      </w:r>
    </w:p>
    <w:p>
      <w:pPr>
        <w:pStyle w:val="Heading2"/>
        <w:spacing w:after="120" w:before="240"/>
      </w:pPr>
      <w:r>
        <w:rPr>
          <w:rFonts w:ascii="Arial" w:cs="Arial" w:eastAsia="Arial" w:hAnsi="Arial"/>
          <w:b/>
          <w:bCs/>
          <w:color w:val="2E74B5"/>
          <w:sz w:val="24"/>
          <w:szCs w:val="24"/>
        </w:rPr>
        <w:t xml:space="preserve">1.3 Why ESS Classification in AWS Is Painful Today</w:t>
      </w:r>
    </w:p>
    <w:p>
      <w:pPr>
        <w:pStyle w:val="ListParagraph"/>
        <w:numPr>
          <w:ilvl w:val="0"/>
          <w:numId w:val="2"/>
        </w:numPr>
        <w:spacing w:after="40" w:before="40"/>
      </w:pPr>
      <w:r>
        <w:rPr>
          <w:rFonts w:ascii="Arial" w:cs="Arial" w:eastAsia="Arial" w:hAnsi="Arial"/>
          <w:b w:val="false"/>
          <w:bCs w:val="false"/>
          <w:sz w:val="22"/>
          <w:szCs w:val="22"/>
        </w:rPr>
        <w:t xml:space="preserve">On-premises, ESS (Enterprise Shared Services) workloads are placed in a well-defined zone managed via Blue Cat DNS classification (e.g., ESSDMZ, ESSBastion, ESSApp, ESSData).</w:t>
      </w:r>
    </w:p>
    <w:p>
      <w:pPr>
        <w:pStyle w:val="ListParagraph"/>
        <w:numPr>
          <w:ilvl w:val="0"/>
          <w:numId w:val="2"/>
        </w:numPr>
        <w:spacing w:after="40" w:before="40"/>
      </w:pPr>
      <w:r>
        <w:rPr>
          <w:rFonts w:ascii="Arial" w:cs="Arial" w:eastAsia="Arial" w:hAnsi="Arial"/>
          <w:b w:val="false"/>
          <w:bCs w:val="false"/>
          <w:sz w:val="22"/>
          <w:szCs w:val="22"/>
        </w:rPr>
        <w:t xml:space="preserve">In AWS, there is no equivalent summarized IP block allocated for ESS. VPC subnets are assigned sequentially from the available AWS address space (currently 10.18.x.x or 10.19.x.x ranges — next-available assignment model).</w:t>
      </w:r>
    </w:p>
    <w:p>
      <w:pPr>
        <w:pStyle w:val="ListParagraph"/>
        <w:numPr>
          <w:ilvl w:val="0"/>
          <w:numId w:val="2"/>
        </w:numPr>
        <w:spacing w:after="40" w:before="40"/>
      </w:pPr>
      <w:r>
        <w:rPr>
          <w:rFonts w:ascii="Arial" w:cs="Arial" w:eastAsia="Arial" w:hAnsi="Arial"/>
          <w:b w:val="false"/>
          <w:bCs w:val="false"/>
          <w:sz w:val="22"/>
          <w:szCs w:val="22"/>
        </w:rPr>
        <w:t xml:space="preserve">Because there is no global ESS summary range in AWS, ESS workloads cannot be added to firewall rules as a summarized object — each VPC/subnet must be managed individually.</w:t>
      </w:r>
    </w:p>
    <w:p>
      <w:pPr>
        <w:pStyle w:val="ListParagraph"/>
        <w:numPr>
          <w:ilvl w:val="0"/>
          <w:numId w:val="2"/>
        </w:numPr>
        <w:spacing w:after="40" w:before="40"/>
      </w:pPr>
      <w:r>
        <w:rPr>
          <w:rFonts w:ascii="Arial" w:cs="Arial" w:eastAsia="Arial" w:hAnsi="Arial"/>
          <w:b w:val="false"/>
          <w:bCs w:val="false"/>
          <w:sz w:val="22"/>
          <w:szCs w:val="22"/>
        </w:rPr>
        <w:t xml:space="preserve">This is the root cause of recurring pain when teams request ESS classification for AWS workloads: every request requires custom Versa firewall rule additions rather than fitting into a pre-existing summarized policy.</w:t>
      </w:r>
    </w:p>
    <w:p>
      <w:pPr>
        <w:pStyle w:val="ListParagraph"/>
        <w:numPr>
          <w:ilvl w:val="0"/>
          <w:numId w:val="2"/>
        </w:numPr>
        <w:spacing w:after="40" w:before="40"/>
      </w:pPr>
      <w:r>
        <w:rPr>
          <w:rFonts w:ascii="Arial" w:cs="Arial" w:eastAsia="Arial" w:hAnsi="Arial"/>
          <w:b w:val="false"/>
          <w:bCs w:val="false"/>
          <w:sz w:val="22"/>
          <w:szCs w:val="22"/>
        </w:rPr>
        <w:t xml:space="preserve">Scott’s document was written specifically because he received three ESS classification requests within two weeks and had to re-derive the process each time from memory.</w:t>
      </w:r>
    </w:p>
    <w:p>
      <w:pPr>
        <w:pStyle w:val="Heading2"/>
        <w:spacing w:after="120" w:before="240"/>
      </w:pPr>
      <w:r>
        <w:rPr>
          <w:rFonts w:ascii="Arial" w:cs="Arial" w:eastAsia="Arial" w:hAnsi="Arial"/>
          <w:b/>
          <w:bCs/>
          <w:color w:val="2E74B5"/>
          <w:sz w:val="24"/>
          <w:szCs w:val="24"/>
        </w:rPr>
        <w:t xml:space="preserve">1.4 The Potential (ESS Attempt in Cloud) — Historical Reference</w:t>
      </w:r>
    </w:p>
    <w:p>
      <w:pPr>
        <w:pStyle w:val="ListParagraph"/>
        <w:numPr>
          <w:ilvl w:val="0"/>
          <w:numId w:val="2"/>
        </w:numPr>
        <w:spacing w:after="40" w:before="40"/>
      </w:pPr>
      <w:r>
        <w:rPr>
          <w:rFonts w:ascii="Arial" w:cs="Arial" w:eastAsia="Arial" w:hAnsi="Arial"/>
          <w:b w:val="false"/>
          <w:bCs w:val="false"/>
          <w:sz w:val="22"/>
          <w:szCs w:val="22"/>
        </w:rPr>
        <w:t xml:space="preserve">A prior attempt was made to deploy a Potential service in cloud to establish an ESS-like presence. This was built using RNA (Registered Non-Advertised) address space.</w:t>
      </w:r>
    </w:p>
    <w:p>
      <w:pPr>
        <w:pStyle w:val="ListParagraph"/>
        <w:numPr>
          <w:ilvl w:val="0"/>
          <w:numId w:val="2"/>
        </w:numPr>
        <w:spacing w:after="40" w:before="40"/>
      </w:pPr>
      <w:r>
        <w:rPr>
          <w:rFonts w:ascii="Arial" w:cs="Arial" w:eastAsia="Arial" w:hAnsi="Arial"/>
          <w:b w:val="false"/>
          <w:bCs w:val="false"/>
          <w:sz w:val="22"/>
          <w:szCs w:val="22"/>
        </w:rPr>
        <w:t xml:space="preserve">The deployment was technically complex and painful. It consumed a /22 or /23 of address space for approximately 50 nodes, primarily because AWS requires minimum subnet sizes (/27 minimum) and redundancy required two subnets per region, causing address space to scale rapidly even for small deployments.</w:t>
      </w:r>
    </w:p>
    <w:p>
      <w:pPr>
        <w:pStyle w:val="ListParagraph"/>
        <w:numPr>
          <w:ilvl w:val="0"/>
          <w:numId w:val="2"/>
        </w:numPr>
        <w:spacing w:after="40" w:before="40"/>
      </w:pPr>
      <w:r>
        <w:rPr>
          <w:rFonts w:ascii="Arial" w:cs="Arial" w:eastAsia="Arial" w:hAnsi="Arial"/>
          <w:b w:val="false"/>
          <w:bCs w:val="false"/>
          <w:sz w:val="22"/>
          <w:szCs w:val="22"/>
        </w:rPr>
        <w:t xml:space="preserve">The project ultimately failed to deliver the intended outcome and was abandoned.</w:t>
      </w:r>
    </w:p>
    <w:p>
      <w:pPr>
        <w:pStyle w:val="ListParagraph"/>
        <w:numPr>
          <w:ilvl w:val="0"/>
          <w:numId w:val="2"/>
        </w:numPr>
        <w:spacing w:after="40" w:before="40"/>
      </w:pPr>
      <w:r>
        <w:rPr>
          <w:rFonts w:ascii="Arial" w:cs="Arial" w:eastAsia="Arial" w:hAnsi="Arial"/>
          <w:b w:val="false"/>
          <w:bCs w:val="false"/>
          <w:sz w:val="22"/>
          <w:szCs w:val="22"/>
        </w:rPr>
        <w:t xml:space="preserve">GitLab, Nexus, and Microsoft Configuration Manager (SCCM) were also attempted as cloud ESS workloads — most failed or were pulled back.</w:t>
      </w:r>
    </w:p>
    <w:p>
      <w:pPr>
        <w:pBdr>
          <w:bottom w:val="single" w:color="2E74B5" w:sz="6" w:space="1"/>
        </w:pBdr>
        <w:spacing w:after="160" w:before="160"/>
      </w:pPr>
    </w:p>
    <w:p>
      <w:pPr>
        <w:pStyle w:val="Heading1"/>
        <w:spacing w:after="160" w:before="320"/>
      </w:pPr>
      <w:r>
        <w:rPr>
          <w:rFonts w:ascii="Arial" w:cs="Arial" w:eastAsia="Arial" w:hAnsi="Arial"/>
          <w:b/>
          <w:bCs/>
          <w:color w:val="1F4E79"/>
          <w:sz w:val="28"/>
          <w:szCs w:val="28"/>
        </w:rPr>
        <w:t xml:space="preserve">2. Key Discussion Points</w:t>
      </w:r>
    </w:p>
    <w:p>
      <w:pPr>
        <w:pStyle w:val="Heading2"/>
        <w:spacing w:after="120" w:before="240"/>
      </w:pPr>
      <w:r>
        <w:rPr>
          <w:rFonts w:ascii="Arial" w:cs="Arial" w:eastAsia="Arial" w:hAnsi="Arial"/>
          <w:b/>
          <w:bCs/>
          <w:color w:val="2E74B5"/>
          <w:sz w:val="24"/>
          <w:szCs w:val="24"/>
        </w:rPr>
        <w:t xml:space="preserve">2.1 ESS vs. Prod/Non-Prod: A Necessary Distinction</w:t>
      </w:r>
    </w:p>
    <w:p>
      <w:pPr>
        <w:spacing w:after="60" w:before="60"/>
      </w:pPr>
      <w:r>
        <w:rPr>
          <w:rFonts w:ascii="Arial" w:cs="Arial" w:eastAsia="Arial" w:hAnsi="Arial"/>
          <w:sz w:val="22"/>
          <w:szCs w:val="22"/>
        </w:rPr>
        <w:t xml:space="preserve">The meeting attendee raised an important conceptual clarification that was confirmed by the group:</w:t>
      </w:r>
    </w:p>
    <w:p>
      <w:pPr>
        <w:pStyle w:val="ListParagraph"/>
        <w:numPr>
          <w:ilvl w:val="0"/>
          <w:numId w:val="2"/>
        </w:numPr>
        <w:spacing w:after="40" w:before="40"/>
      </w:pPr>
      <w:r>
        <w:rPr>
          <w:rFonts w:ascii="Arial" w:cs="Arial" w:eastAsia="Arial" w:hAnsi="Arial"/>
          <w:b w:val="false"/>
          <w:bCs w:val="false"/>
          <w:sz w:val="22"/>
          <w:szCs w:val="22"/>
        </w:rPr>
        <w:t xml:space="preserve">ESS is neither Prod nor Non-Prod. It is a shared services tier — a separate classification.</w:t>
      </w:r>
    </w:p>
    <w:p>
      <w:pPr>
        <w:pStyle w:val="ListParagraph"/>
        <w:numPr>
          <w:ilvl w:val="0"/>
          <w:numId w:val="2"/>
        </w:numPr>
        <w:spacing w:after="40" w:before="40"/>
      </w:pPr>
      <w:r>
        <w:rPr>
          <w:rFonts w:ascii="Arial" w:cs="Arial" w:eastAsia="Arial" w:hAnsi="Arial"/>
          <w:b w:val="false"/>
          <w:bCs w:val="false"/>
          <w:sz w:val="22"/>
          <w:szCs w:val="22"/>
        </w:rPr>
        <w:t xml:space="preserve">The two problems being conflated in this discussion must be treated separately:</w:t>
      </w:r>
    </w:p>
    <w:p>
      <w:pPr>
        <w:pStyle w:val="ListParagraph"/>
        <w:numPr>
          <w:ilvl w:val="0"/>
          <w:numId w:val="3"/>
        </w:numPr>
        <w:spacing w:after="30" w:before="30"/>
      </w:pPr>
      <w:r>
        <w:rPr>
          <w:rFonts w:ascii="Arial" w:cs="Arial" w:eastAsia="Arial" w:hAnsi="Arial"/>
          <w:sz w:val="20"/>
          <w:szCs w:val="20"/>
        </w:rPr>
        <w:t xml:space="preserve">Problem 1: How do we handle ESS as a distinct shared services function in cloud?</w:t>
      </w:r>
    </w:p>
    <w:p>
      <w:pPr>
        <w:pStyle w:val="ListParagraph"/>
        <w:numPr>
          <w:ilvl w:val="0"/>
          <w:numId w:val="3"/>
        </w:numPr>
        <w:spacing w:after="30" w:before="30"/>
      </w:pPr>
      <w:r>
        <w:rPr>
          <w:rFonts w:ascii="Arial" w:cs="Arial" w:eastAsia="Arial" w:hAnsi="Arial"/>
          <w:sz w:val="20"/>
          <w:szCs w:val="20"/>
        </w:rPr>
        <w:t xml:space="preserve">Problem 2: How do we allow controlled Prod-to-Non-Prod communication for specific use cases?</w:t>
      </w:r>
    </w:p>
    <w:p>
      <w:pPr>
        <w:pStyle w:val="ListParagraph"/>
        <w:numPr>
          <w:ilvl w:val="0"/>
          <w:numId w:val="2"/>
        </w:numPr>
        <w:spacing w:after="40" w:before="40"/>
      </w:pPr>
      <w:r>
        <w:rPr>
          <w:rFonts w:ascii="Arial" w:cs="Arial" w:eastAsia="Arial" w:hAnsi="Arial"/>
          <w:b w:val="false"/>
          <w:bCs w:val="false"/>
          <w:sz w:val="22"/>
          <w:szCs w:val="22"/>
        </w:rPr>
        <w:t xml:space="preserve">These have different architectural solutions and must not be solved by the same mechanism.</w:t>
      </w:r>
    </w:p>
    <w:p>
      <w:pPr>
        <w:pStyle w:val="ListParagraph"/>
        <w:numPr>
          <w:ilvl w:val="0"/>
          <w:numId w:val="2"/>
        </w:numPr>
        <w:spacing w:after="40" w:before="40"/>
      </w:pPr>
      <w:r>
        <w:rPr>
          <w:rFonts w:ascii="Arial" w:cs="Arial" w:eastAsia="Arial" w:hAnsi="Arial"/>
          <w:b w:val="false"/>
          <w:bCs w:val="false"/>
          <w:sz w:val="22"/>
          <w:szCs w:val="22"/>
        </w:rPr>
        <w:t xml:space="preserve">Additionally: some services nominally classified as ESS may reside in a Prod environment but still need to communicate with Non-Prod — this further complicates blanket zone-based policy.</w:t>
      </w:r>
    </w:p>
    <w:p>
      <w:pPr>
        <w:pStyle w:val="Heading2"/>
        <w:spacing w:after="120" w:before="240"/>
      </w:pPr>
      <w:r>
        <w:rPr>
          <w:rFonts w:ascii="Arial" w:cs="Arial" w:eastAsia="Arial" w:hAnsi="Arial"/>
          <w:b/>
          <w:bCs/>
          <w:color w:val="2E74B5"/>
          <w:sz w:val="24"/>
          <w:szCs w:val="24"/>
        </w:rPr>
        <w:t xml:space="preserve">2.2 MCBB 3.0 / Cloud WAN Segmentation as the Go-Forward Model</w:t>
      </w:r>
    </w:p>
    <w:p>
      <w:pPr>
        <w:spacing w:after="60" w:before="60"/>
      </w:pPr>
      <w:r>
        <w:rPr>
          <w:rFonts w:ascii="Arial" w:cs="Arial" w:eastAsia="Arial" w:hAnsi="Arial"/>
          <w:sz w:val="22"/>
          <w:szCs w:val="22"/>
        </w:rPr>
        <w:t xml:space="preserve">The group converged on Cloud WAN segments as the structural answer for both ESS isolation and Prod/Non-Prod separation in MCBB 3.0:</w:t>
      </w:r>
    </w:p>
    <w:p>
      <w:pPr>
        <w:pStyle w:val="ListParagraph"/>
        <w:numPr>
          <w:ilvl w:val="0"/>
          <w:numId w:val="2"/>
        </w:numPr>
        <w:spacing w:after="40" w:before="40"/>
      </w:pPr>
      <w:r>
        <w:rPr>
          <w:rFonts w:ascii="Arial" w:cs="Arial" w:eastAsia="Arial" w:hAnsi="Arial"/>
          <w:b w:val="false"/>
          <w:bCs w:val="false"/>
          <w:sz w:val="22"/>
          <w:szCs w:val="22"/>
        </w:rPr>
        <w:t xml:space="preserve">Planned Cloud WAN segments: Production, Non-Production, Shared Services (ESS), Inspection.</w:t>
      </w:r>
    </w:p>
    <w:p>
      <w:pPr>
        <w:pStyle w:val="ListParagraph"/>
        <w:numPr>
          <w:ilvl w:val="0"/>
          <w:numId w:val="2"/>
        </w:numPr>
        <w:spacing w:after="40" w:before="40"/>
      </w:pPr>
      <w:r>
        <w:rPr>
          <w:rFonts w:ascii="Arial" w:cs="Arial" w:eastAsia="Arial" w:hAnsi="Arial"/>
          <w:b w:val="false"/>
          <w:bCs w:val="false"/>
          <w:sz w:val="22"/>
          <w:szCs w:val="22"/>
        </w:rPr>
        <w:t xml:space="preserve">At the segment level, these are effectively zone equivalents — replacing the Versa-based zone enforcement that exists today.</w:t>
      </w:r>
    </w:p>
    <w:p>
      <w:pPr>
        <w:pStyle w:val="ListParagraph"/>
        <w:numPr>
          <w:ilvl w:val="0"/>
          <w:numId w:val="2"/>
        </w:numPr>
        <w:spacing w:after="40" w:before="40"/>
      </w:pPr>
      <w:r>
        <w:rPr>
          <w:rFonts w:ascii="Arial" w:cs="Arial" w:eastAsia="Arial" w:hAnsi="Arial"/>
          <w:b w:val="false"/>
          <w:bCs w:val="false"/>
          <w:sz w:val="22"/>
          <w:szCs w:val="22"/>
        </w:rPr>
        <w:t xml:space="preserve">VPC attachments are placed per segment, enabling segment-level routing and isolation policy.</w:t>
      </w:r>
    </w:p>
    <w:p>
      <w:pPr>
        <w:pStyle w:val="ListParagraph"/>
        <w:numPr>
          <w:ilvl w:val="0"/>
          <w:numId w:val="2"/>
        </w:numPr>
        <w:spacing w:after="40" w:before="40"/>
      </w:pPr>
      <w:r>
        <w:rPr>
          <w:rFonts w:ascii="Arial" w:cs="Arial" w:eastAsia="Arial" w:hAnsi="Arial"/>
          <w:b w:val="false"/>
          <w:bCs w:val="false"/>
          <w:sz w:val="22"/>
          <w:szCs w:val="22"/>
        </w:rPr>
        <w:t xml:space="preserve">A segment can be fully isolated by default and selectively peered with other segments — this gives granular control without relying on black hole routes.</w:t>
      </w:r>
    </w:p>
    <w:p>
      <w:pPr>
        <w:pStyle w:val="ListParagraph"/>
        <w:numPr>
          <w:ilvl w:val="0"/>
          <w:numId w:val="2"/>
        </w:numPr>
        <w:spacing w:after="40" w:before="40"/>
      </w:pPr>
      <w:r>
        <w:rPr>
          <w:rFonts w:ascii="Arial" w:cs="Arial" w:eastAsia="Arial" w:hAnsi="Arial"/>
          <w:b w:val="false"/>
          <w:bCs w:val="false"/>
          <w:sz w:val="22"/>
          <w:szCs w:val="22"/>
        </w:rPr>
        <w:t xml:space="preserve">The Inspection segment hosts a dedicated inspection VPC with AWS-native firewall (or Palo Alto) that acts as the policy enforcement point for inter-segment traffic. All cross-segment traffic is directed through this VPC before being permitted.</w:t>
      </w:r>
    </w:p>
    <w:p>
      <w:pPr>
        <w:pStyle w:val="ListParagraph"/>
        <w:numPr>
          <w:ilvl w:val="0"/>
          <w:numId w:val="2"/>
        </w:numPr>
        <w:spacing w:after="40" w:before="40"/>
      </w:pPr>
      <w:r>
        <w:rPr>
          <w:rFonts w:ascii="Arial" w:cs="Arial" w:eastAsia="Arial" w:hAnsi="Arial"/>
          <w:b w:val="false"/>
          <w:bCs w:val="false"/>
          <w:sz w:val="22"/>
          <w:szCs w:val="22"/>
        </w:rPr>
        <w:t xml:space="preserve">Anton confirmed: the firewall (whether AWS Network Firewall or Palo Alto) is deployed per AWS region within Cloud WAN, and each region’s firewall handles local traffic inspection. Egress from the firewall routes to either other segments or the Hybrid segment (where on-premises connectivity terminates via Direct Connect).</w:t>
      </w:r>
    </w:p>
    <w:p>
      <w:pPr>
        <w:pStyle w:val="ListParagraph"/>
        <w:numPr>
          <w:ilvl w:val="0"/>
          <w:numId w:val="2"/>
        </w:numPr>
        <w:spacing w:after="40" w:before="40"/>
      </w:pPr>
      <w:r>
        <w:rPr>
          <w:rFonts w:ascii="Arial" w:cs="Arial" w:eastAsia="Arial" w:hAnsi="Arial"/>
          <w:b w:val="false"/>
          <w:bCs w:val="false"/>
          <w:sz w:val="22"/>
          <w:szCs w:val="22"/>
        </w:rPr>
        <w:t xml:space="preserve">This design is structurally analogous to on-premises DMZ zone architecture — making it potentially portable to Azure with the same design logic.</w:t>
      </w:r>
    </w:p>
    <w:p>
      <w:pPr>
        <w:pStyle w:val="Heading2"/>
        <w:spacing w:after="120" w:before="240"/>
      </w:pPr>
      <w:r>
        <w:rPr>
          <w:rFonts w:ascii="Arial" w:cs="Arial" w:eastAsia="Arial" w:hAnsi="Arial"/>
          <w:b/>
          <w:bCs/>
          <w:color w:val="2E74B5"/>
          <w:sz w:val="24"/>
          <w:szCs w:val="24"/>
        </w:rPr>
        <w:t xml:space="preserve">2.3 IP Addressing for ESS Segment in Cloud — Open Question</w:t>
      </w:r>
    </w:p>
    <w:p>
      <w:pPr>
        <w:spacing w:after="60" w:before="60"/>
      </w:pPr>
      <w:r>
        <w:rPr>
          <w:rFonts w:ascii="Arial" w:cs="Arial" w:eastAsia="Arial" w:hAnsi="Arial"/>
          <w:sz w:val="22"/>
          <w:szCs w:val="22"/>
        </w:rPr>
        <w:t xml:space="preserve">A significant portion of the discussion focused on how to assign IP address space to an ESS/Shared Services segment in Cloud WAN. No final decision was reached; the following positions and considerations were surfaced:</w:t>
      </w:r>
    </w:p>
    <w:p>
      <w:pPr>
        <w:pStyle w:val="ListParagraph"/>
        <w:numPr>
          <w:ilvl w:val="0"/>
          <w:numId w:val="2"/>
        </w:numPr>
        <w:spacing w:after="40" w:before="40"/>
      </w:pPr>
      <w:r>
        <w:rPr>
          <w:rFonts w:ascii="Arial" w:cs="Arial" w:eastAsia="Arial" w:hAnsi="Arial"/>
          <w:b w:val="false"/>
          <w:bCs w:val="false"/>
          <w:sz w:val="22"/>
          <w:szCs w:val="22"/>
        </w:rPr>
        <w:t xml:space="preserve">Current pain: the sequential next-available assignment model means ESS workloads in AWS have no summarizable IP range, making firewall policy management impossible at scale.</w:t>
      </w:r>
    </w:p>
    <w:p>
      <w:pPr>
        <w:pStyle w:val="ListParagraph"/>
        <w:numPr>
          <w:ilvl w:val="0"/>
          <w:numId w:val="2"/>
        </w:numPr>
        <w:spacing w:after="40" w:before="40"/>
      </w:pPr>
      <w:r>
        <w:rPr>
          <w:rFonts w:ascii="Arial" w:cs="Arial" w:eastAsia="Arial" w:hAnsi="Arial"/>
          <w:b w:val="false"/>
          <w:bCs w:val="false"/>
          <w:sz w:val="22"/>
          <w:szCs w:val="22"/>
        </w:rPr>
        <w:t xml:space="preserve">Desired state (multiple participants agreed): a dedicated, globally consistent CIDR block assigned to ESS, so that workloads in the ESS segment can be summarized in routing and firewall policy regardless of region.</w:t>
      </w:r>
    </w:p>
    <w:p>
      <w:pPr>
        <w:pStyle w:val="ListParagraph"/>
        <w:numPr>
          <w:ilvl w:val="0"/>
          <w:numId w:val="2"/>
        </w:numPr>
        <w:spacing w:after="40" w:before="40"/>
      </w:pPr>
      <w:r>
        <w:rPr>
          <w:rFonts w:ascii="Arial" w:cs="Arial" w:eastAsia="Arial" w:hAnsi="Arial"/>
          <w:b w:val="false"/>
          <w:bCs w:val="false"/>
          <w:sz w:val="22"/>
          <w:szCs w:val="22"/>
        </w:rPr>
        <w:t xml:space="preserve">Anton’s position: because VPC CIDR blocks in Cloud WAN segments are dynamically advertised via BGP, strict consistency across regions is not a hard technical requirement — a /19 or similar block could be globally reserved for ESS, with next-available assignment within that block per region. This avoids the need for a rigid per-region pre-allocation while still providing summarization.</w:t>
      </w:r>
    </w:p>
    <w:p>
      <w:pPr>
        <w:pStyle w:val="ListParagraph"/>
        <w:numPr>
          <w:ilvl w:val="0"/>
          <w:numId w:val="2"/>
        </w:numPr>
        <w:spacing w:after="40" w:before="40"/>
      </w:pPr>
      <w:r>
        <w:rPr>
          <w:rFonts w:ascii="Arial" w:cs="Arial" w:eastAsia="Arial" w:hAnsi="Arial"/>
          <w:b w:val="false"/>
          <w:bCs w:val="false"/>
          <w:sz w:val="22"/>
          <w:szCs w:val="22"/>
        </w:rPr>
        <w:t xml:space="preserve">Counterpoint raised: the organization has a long history of CIDR space constraints and lacked a crystal ball for how much space each segment or region would need. Over-reservation wastes scarce space; under-reservation causes future pain.</w:t>
      </w:r>
    </w:p>
    <w:p>
      <w:pPr>
        <w:pStyle w:val="ListParagraph"/>
        <w:numPr>
          <w:ilvl w:val="0"/>
          <w:numId w:val="2"/>
        </w:numPr>
        <w:spacing w:after="40" w:before="40"/>
      </w:pPr>
      <w:r>
        <w:rPr>
          <w:rFonts w:ascii="Arial" w:cs="Arial" w:eastAsia="Arial" w:hAnsi="Arial"/>
          <w:b w:val="false"/>
          <w:bCs w:val="false"/>
          <w:sz w:val="22"/>
          <w:szCs w:val="22"/>
        </w:rPr>
        <w:t xml:space="preserve">Sub-zone question raised by Anton: should there be separate sub-segments or VPCs within ESS for different tiers (e.g., ESSDMZ, ESSApp, ESSData)? This mirrors on-premises ESS zone structure. The group acknowledged this is a valid question but deferred it as a second-order design decision.</w:t>
      </w:r>
    </w:p>
    <w:p>
      <w:pPr>
        <w:pStyle w:val="ListParagraph"/>
        <w:numPr>
          <w:ilvl w:val="0"/>
          <w:numId w:val="2"/>
        </w:numPr>
        <w:spacing w:after="40" w:before="40"/>
      </w:pPr>
      <w:r>
        <w:rPr>
          <w:rFonts w:ascii="Arial" w:cs="Arial" w:eastAsia="Arial" w:hAnsi="Arial"/>
          <w:b w:val="false"/>
          <w:bCs w:val="false"/>
          <w:sz w:val="22"/>
          <w:szCs w:val="22"/>
        </w:rPr>
        <w:t xml:space="preserve">RNA (Registered Non-Advertised) space was referenced as the addressing approach used on-premises for ESS front ends. The question of whether to use RNA in cloud for ESS front ends remains open. The meeting attendee noted that for back-end ESS services in cloud, routable IP space is required; RNA may be applicable only to front-end exposure.</w:t>
      </w:r>
    </w:p>
    <w:p>
      <w:pPr>
        <w:pStyle w:val="Heading2"/>
        <w:spacing w:after="120" w:before="240"/>
      </w:pPr>
      <w:r>
        <w:rPr>
          <w:rFonts w:ascii="Arial" w:cs="Arial" w:eastAsia="Arial" w:hAnsi="Arial"/>
          <w:b/>
          <w:bCs/>
          <w:color w:val="2E74B5"/>
          <w:sz w:val="24"/>
          <w:szCs w:val="24"/>
        </w:rPr>
        <w:t xml:space="preserve">2.4 Regional Summarization — Already on the Agenda</w:t>
      </w:r>
    </w:p>
    <w:p>
      <w:pPr>
        <w:pStyle w:val="ListParagraph"/>
        <w:numPr>
          <w:ilvl w:val="0"/>
          <w:numId w:val="2"/>
        </w:numPr>
        <w:spacing w:after="40" w:before="40"/>
      </w:pPr>
      <w:r>
        <w:rPr>
          <w:rFonts w:ascii="Arial" w:cs="Arial" w:eastAsia="Arial" w:hAnsi="Arial"/>
          <w:b w:val="false"/>
          <w:bCs w:val="false"/>
          <w:sz w:val="22"/>
          <w:szCs w:val="22"/>
        </w:rPr>
        <w:t xml:space="preserve">Michael (or a participant referencing prior Anton conversations) noted that regional IP summarization was already agreed upon as a requirement for MCBB 3.0 during earlier design discussions.</w:t>
      </w:r>
    </w:p>
    <w:p>
      <w:pPr>
        <w:pStyle w:val="ListParagraph"/>
        <w:numPr>
          <w:ilvl w:val="0"/>
          <w:numId w:val="2"/>
        </w:numPr>
        <w:spacing w:after="40" w:before="40"/>
      </w:pPr>
      <w:r>
        <w:rPr>
          <w:rFonts w:ascii="Arial" w:cs="Arial" w:eastAsia="Arial" w:hAnsi="Arial"/>
          <w:b w:val="false"/>
          <w:bCs w:val="false"/>
          <w:sz w:val="22"/>
          <w:szCs w:val="22"/>
        </w:rPr>
        <w:t xml:space="preserve">The rationale: removing the Versa SD-WAN overlay means the team will again be subject to CSP (Cloud Service Provider) route advertisement limits. Regional summarization reduces the number of routes advertised and keeps the design within CSP constraints.</w:t>
      </w:r>
    </w:p>
    <w:p>
      <w:pPr>
        <w:pStyle w:val="ListParagraph"/>
        <w:numPr>
          <w:ilvl w:val="0"/>
          <w:numId w:val="2"/>
        </w:numPr>
        <w:spacing w:after="40" w:before="40"/>
      </w:pPr>
      <w:r>
        <w:rPr>
          <w:rFonts w:ascii="Arial" w:cs="Arial" w:eastAsia="Arial" w:hAnsi="Arial"/>
          <w:b w:val="false"/>
          <w:bCs w:val="false"/>
          <w:sz w:val="22"/>
          <w:szCs w:val="22"/>
        </w:rPr>
        <w:t xml:space="preserve">Shyam/China confirmed this topic is already on next week’s meeting agenda: “Summarized IP allocations per region.”</w:t>
      </w:r>
    </w:p>
    <w:p>
      <w:pPr>
        <w:pStyle w:val="ListParagraph"/>
        <w:numPr>
          <w:ilvl w:val="0"/>
          <w:numId w:val="2"/>
        </w:numPr>
        <w:spacing w:after="40" w:before="40"/>
      </w:pPr>
      <w:r>
        <w:rPr>
          <w:rFonts w:ascii="Arial" w:cs="Arial" w:eastAsia="Arial" w:hAnsi="Arial"/>
          <w:b w:val="false"/>
          <w:bCs w:val="false"/>
          <w:sz w:val="22"/>
          <w:szCs w:val="22"/>
        </w:rPr>
        <w:t xml:space="preserve">Anton noted that AWS’s route limits are relatively high and the organization is not currently close to hitting them — but the summarization discipline is still the right architectural approach regardless.</w:t>
      </w:r>
    </w:p>
    <w:p>
      <w:pPr>
        <w:pStyle w:val="Heading2"/>
        <w:spacing w:after="120" w:before="240"/>
      </w:pPr>
      <w:r>
        <w:rPr>
          <w:rFonts w:ascii="Arial" w:cs="Arial" w:eastAsia="Arial" w:hAnsi="Arial"/>
          <w:b/>
          <w:bCs/>
          <w:color w:val="2E74B5"/>
          <w:sz w:val="24"/>
          <w:szCs w:val="24"/>
        </w:rPr>
        <w:t xml:space="preserve">2.5 ESS in Cloud: Frequency and Scope of Demand</w:t>
      </w:r>
    </w:p>
    <w:p>
      <w:pPr>
        <w:spacing w:after="60" w:before="60"/>
      </w:pPr>
      <w:r>
        <w:rPr>
          <w:rFonts w:ascii="Arial" w:cs="Arial" w:eastAsia="Arial" w:hAnsi="Arial"/>
          <w:sz w:val="22"/>
          <w:szCs w:val="22"/>
        </w:rPr>
        <w:t xml:space="preserve">The group discussed how often ESS-classified workloads are actually being requested in cloud:</w:t>
      </w:r>
    </w:p>
    <w:p>
      <w:pPr>
        <w:pStyle w:val="ListParagraph"/>
        <w:numPr>
          <w:ilvl w:val="0"/>
          <w:numId w:val="2"/>
        </w:numPr>
        <w:spacing w:after="40" w:before="40"/>
      </w:pPr>
      <w:r>
        <w:rPr>
          <w:rFonts w:ascii="Arial" w:cs="Arial" w:eastAsia="Arial" w:hAnsi="Arial"/>
          <w:b w:val="false"/>
          <w:bCs w:val="false"/>
          <w:sz w:val="22"/>
          <w:szCs w:val="22"/>
        </w:rPr>
        <w:t xml:space="preserve">Current cloud ESS workloads are very few: GitLab (with exceptions carved in Versa), Nexus (attempted, failed), Microsoft SCCM (attempted, failed/abandoned).</w:t>
      </w:r>
    </w:p>
    <w:p>
      <w:pPr>
        <w:pStyle w:val="ListParagraph"/>
        <w:numPr>
          <w:ilvl w:val="0"/>
          <w:numId w:val="2"/>
        </w:numPr>
        <w:spacing w:after="40" w:before="40"/>
      </w:pPr>
      <w:r>
        <w:rPr>
          <w:rFonts w:ascii="Arial" w:cs="Arial" w:eastAsia="Arial" w:hAnsi="Arial"/>
          <w:b w:val="false"/>
          <w:bCs w:val="false"/>
          <w:sz w:val="22"/>
          <w:szCs w:val="22"/>
        </w:rPr>
        <w:t xml:space="preserve">Most ESS requests are for single-region deployment, not global multi-region.</w:t>
      </w:r>
    </w:p>
    <w:p>
      <w:pPr>
        <w:pStyle w:val="ListParagraph"/>
        <w:numPr>
          <w:ilvl w:val="0"/>
          <w:numId w:val="2"/>
        </w:numPr>
        <w:spacing w:after="40" w:before="40"/>
      </w:pPr>
      <w:r>
        <w:rPr>
          <w:rFonts w:ascii="Arial" w:cs="Arial" w:eastAsia="Arial" w:hAnsi="Arial"/>
          <w:b w:val="false"/>
          <w:bCs w:val="false"/>
          <w:sz w:val="22"/>
          <w:szCs w:val="22"/>
        </w:rPr>
        <w:t xml:space="preserve">However, the aspirational design goal articulated by multiple participants: if ESS in cloud works consistently and is globally reachable, it could accelerate decommission of on-premises ESS infrastructure — which some participants (including Cyber, referenced indirectly) would prefer.</w:t>
      </w:r>
    </w:p>
    <w:p>
      <w:pPr>
        <w:pStyle w:val="ListParagraph"/>
        <w:numPr>
          <w:ilvl w:val="0"/>
          <w:numId w:val="2"/>
        </w:numPr>
        <w:spacing w:after="40" w:before="40"/>
      </w:pPr>
      <w:r>
        <w:rPr>
          <w:rFonts w:ascii="Arial" w:cs="Arial" w:eastAsia="Arial" w:hAnsi="Arial"/>
          <w:b w:val="false"/>
          <w:bCs w:val="false"/>
          <w:sz w:val="22"/>
          <w:szCs w:val="22"/>
        </w:rPr>
        <w:t xml:space="preserve">Example cited: a cloud-based Bastion (ESSBastion equivalent) that Cyber could spin up and spin down on demand across regions would be highly desirable — a use case that on-premises infrastructure cannot support efficiently.</w:t>
      </w:r>
    </w:p>
    <w:p>
      <w:pPr>
        <w:pStyle w:val="Heading2"/>
        <w:spacing w:after="120" w:before="240"/>
      </w:pPr>
      <w:r>
        <w:rPr>
          <w:rFonts w:ascii="Arial" w:cs="Arial" w:eastAsia="Arial" w:hAnsi="Arial"/>
          <w:b/>
          <w:bCs/>
          <w:color w:val="2E74B5"/>
          <w:sz w:val="24"/>
          <w:szCs w:val="24"/>
        </w:rPr>
        <w:t xml:space="preserve">2.6 Cloud ESS Design Principles Proposed</w:t>
      </w:r>
    </w:p>
    <w:p>
      <w:pPr>
        <w:spacing w:after="60" w:before="60"/>
      </w:pPr>
      <w:r>
        <w:rPr>
          <w:rFonts w:ascii="Arial" w:cs="Arial" w:eastAsia="Arial" w:hAnsi="Arial"/>
          <w:sz w:val="22"/>
          <w:szCs w:val="22"/>
        </w:rPr>
        <w:t xml:space="preserve">The meeting attendee proposed a set of design principles for ESS in cloud that received general agreement:</w:t>
      </w:r>
    </w:p>
    <w:p>
      <w:pPr>
        <w:pStyle w:val="ListParagraph"/>
        <w:numPr>
          <w:ilvl w:val="0"/>
          <w:numId w:val="2"/>
        </w:numPr>
        <w:spacing w:after="40" w:before="40"/>
      </w:pPr>
      <w:r>
        <w:rPr>
          <w:rFonts w:ascii="Arial" w:cs="Arial" w:eastAsia="Arial" w:hAnsi="Arial"/>
          <w:b w:val="false"/>
          <w:bCs w:val="false"/>
          <w:sz w:val="22"/>
          <w:szCs w:val="22"/>
        </w:rPr>
        <w:t xml:space="preserve">ESS in cloud must live in its own dedicated network segment (Cloud WAN Shared Services segment), not co-mingled with Prod or Non-Prod VPC attachments.</w:t>
      </w:r>
    </w:p>
    <w:p>
      <w:pPr>
        <w:pStyle w:val="ListParagraph"/>
        <w:numPr>
          <w:ilvl w:val="0"/>
          <w:numId w:val="2"/>
        </w:numPr>
        <w:spacing w:after="40" w:before="40"/>
      </w:pPr>
      <w:r>
        <w:rPr>
          <w:rFonts w:ascii="Arial" w:cs="Arial" w:eastAsia="Arial" w:hAnsi="Arial"/>
          <w:b w:val="false"/>
          <w:bCs w:val="false"/>
          <w:sz w:val="22"/>
          <w:szCs w:val="22"/>
        </w:rPr>
        <w:t xml:space="preserve">Each ESS service should be front-ended by a global load balancing / routing mechanism — the meeting attendee specifically proposed AWS Global Accelerator as the front-end layer, with Route 53 for DNS-based geo-routing.</w:t>
      </w:r>
    </w:p>
    <w:p>
      <w:pPr>
        <w:pStyle w:val="ListParagraph"/>
        <w:numPr>
          <w:ilvl w:val="0"/>
          <w:numId w:val="2"/>
        </w:numPr>
        <w:spacing w:after="40" w:before="40"/>
      </w:pPr>
      <w:r>
        <w:rPr>
          <w:rFonts w:ascii="Arial" w:cs="Arial" w:eastAsia="Arial" w:hAnsi="Arial"/>
          <w:b w:val="false"/>
          <w:bCs w:val="false"/>
          <w:sz w:val="22"/>
          <w:szCs w:val="22"/>
        </w:rPr>
        <w:t xml:space="preserve">Back-end ESS instances are regional, but traffic is routed to the appropriate regional back-end based on the origin of the request (e.g., European users resolve to European ESS endpoints).</w:t>
      </w:r>
    </w:p>
    <w:p>
      <w:pPr>
        <w:pStyle w:val="ListParagraph"/>
        <w:numPr>
          <w:ilvl w:val="0"/>
          <w:numId w:val="2"/>
        </w:numPr>
        <w:spacing w:after="40" w:before="40"/>
      </w:pPr>
      <w:r>
        <w:rPr>
          <w:rFonts w:ascii="Arial" w:cs="Arial" w:eastAsia="Arial" w:hAnsi="Arial"/>
          <w:b w:val="false"/>
          <w:bCs w:val="false"/>
          <w:sz w:val="22"/>
          <w:szCs w:val="22"/>
        </w:rPr>
        <w:t xml:space="preserve">This mirrors the on-premises model where Splunk, for example, resolves to 3-4 IPs globally, but traffic is handled regionally.</w:t>
      </w:r>
    </w:p>
    <w:p>
      <w:pPr>
        <w:pStyle w:val="ListParagraph"/>
        <w:numPr>
          <w:ilvl w:val="0"/>
          <w:numId w:val="2"/>
        </w:numPr>
        <w:spacing w:after="40" w:before="40"/>
      </w:pPr>
      <w:r>
        <w:rPr>
          <w:rFonts w:ascii="Arial" w:cs="Arial" w:eastAsia="Arial" w:hAnsi="Arial"/>
          <w:b w:val="false"/>
          <w:bCs w:val="false"/>
          <w:sz w:val="22"/>
          <w:szCs w:val="22"/>
        </w:rPr>
        <w:t xml:space="preserve">Design should be CSP-specific initially (AWS first), but architected so the same model can be replicated in Azure with equivalent constructs. Anton confirmed this is structurally feasible given Cloud WAN segment design parity between AWS and Azure.</w:t>
      </w:r>
    </w:p>
    <w:p>
      <w:pPr>
        <w:pStyle w:val="ListParagraph"/>
        <w:numPr>
          <w:ilvl w:val="0"/>
          <w:numId w:val="2"/>
        </w:numPr>
        <w:spacing w:after="40" w:before="40"/>
      </w:pPr>
      <w:r>
        <w:rPr>
          <w:rFonts w:ascii="Arial" w:cs="Arial" w:eastAsia="Arial" w:hAnsi="Arial"/>
          <w:b w:val="false"/>
          <w:bCs w:val="false"/>
          <w:sz w:val="22"/>
          <w:szCs w:val="22"/>
        </w:rPr>
        <w:t xml:space="preserve">RNA space for front-end ESS exposure should be evaluated but is not confirmed. Routable space required for back-end.</w:t>
      </w:r>
    </w:p>
    <w:p>
      <w:pPr>
        <w:pStyle w:val="Heading2"/>
        <w:spacing w:after="120" w:before="240"/>
      </w:pPr>
      <w:r>
        <w:rPr>
          <w:rFonts w:ascii="Arial" w:cs="Arial" w:eastAsia="Arial" w:hAnsi="Arial"/>
          <w:b/>
          <w:bCs/>
          <w:color w:val="2E74B5"/>
          <w:sz w:val="24"/>
          <w:szCs w:val="24"/>
        </w:rPr>
        <w:t xml:space="preserve">2.7 On-Premises Alignment Question</w:t>
      </w:r>
    </w:p>
    <w:p>
      <w:pPr>
        <w:spacing w:after="60" w:before="60"/>
      </w:pPr>
      <w:r>
        <w:rPr>
          <w:rFonts w:ascii="Arial" w:cs="Arial" w:eastAsia="Arial" w:hAnsi="Arial"/>
          <w:sz w:val="22"/>
          <w:szCs w:val="22"/>
        </w:rPr>
        <w:t xml:space="preserve">One participant (Laura, based on context) raised a broader question: if the cloud ESS and IP summarization design is being built “the right way,” should the on-premises design be reconsidered to align with it, given that new data center fabrics and new ESS infrastructure are currently being built?</w:t>
      </w:r>
    </w:p>
    <w:p>
      <w:pPr>
        <w:pStyle w:val="ListParagraph"/>
        <w:numPr>
          <w:ilvl w:val="0"/>
          <w:numId w:val="2"/>
        </w:numPr>
        <w:spacing w:after="40" w:before="40"/>
      </w:pPr>
      <w:r>
        <w:rPr>
          <w:rFonts w:ascii="Arial" w:cs="Arial" w:eastAsia="Arial" w:hAnsi="Arial"/>
          <w:b w:val="false"/>
          <w:bCs w:val="false"/>
          <w:sz w:val="22"/>
          <w:szCs w:val="22"/>
        </w:rPr>
        <w:t xml:space="preserve">Michael explicitly declined to re-scope the on-premises architecture: “I’m not here to revisit on-prem — it’s not in the purview of the team aside from Anton.”</w:t>
      </w:r>
    </w:p>
    <w:p>
      <w:pPr>
        <w:pStyle w:val="ListParagraph"/>
        <w:numPr>
          <w:ilvl w:val="0"/>
          <w:numId w:val="2"/>
        </w:numPr>
        <w:spacing w:after="40" w:before="40"/>
      </w:pPr>
      <w:r>
        <w:rPr>
          <w:rFonts w:ascii="Arial" w:cs="Arial" w:eastAsia="Arial" w:hAnsi="Arial"/>
          <w:b w:val="false"/>
          <w:bCs w:val="false"/>
          <w:sz w:val="22"/>
          <w:szCs w:val="22"/>
        </w:rPr>
        <w:t xml:space="preserve">Focus remains on cloud. The on-premises question was noted but not actioned.</w:t>
      </w:r>
    </w:p>
    <w:p>
      <w:pPr>
        <w:pBdr>
          <w:bottom w:val="single" w:color="2E74B5" w:sz="6" w:space="1"/>
        </w:pBdr>
        <w:spacing w:after="160" w:before="160"/>
      </w:pPr>
    </w:p>
    <w:p>
      <w:pPr>
        <w:pStyle w:val="Heading1"/>
        <w:spacing w:after="160" w:before="320"/>
      </w:pPr>
      <w:r>
        <w:rPr>
          <w:rFonts w:ascii="Arial" w:cs="Arial" w:eastAsia="Arial" w:hAnsi="Arial"/>
          <w:b/>
          <w:bCs/>
          <w:color w:val="1F4E79"/>
          <w:sz w:val="28"/>
          <w:szCs w:val="28"/>
        </w:rPr>
        <w:t xml:space="preserve">3. Open Questions &amp; Unresolved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Open Question</w:t>
            </w:r>
          </w:p>
        </w:tc>
        <w:tc>
          <w:tcPr>
            <w:tcW w:type="dxa" w:w="616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Notes / Partial Answers</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What dedicated CIDR block (if any) should be reserved globally for the ESS/Shared Services segment?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Anton proposed a global reservation (e.g., /19) with next-available assignment within it per region. No decision reached. To be discussed at Cloud Summit.</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Should ESS be sub-zoned in Cloud WAN (ESSDMZ, ESSApp, ESSData as separate segments or VPCs)?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Anton raised this. Group deferred — second-order design decision. Needs a dedicated discussion once top-level segment architecture is confirmed.</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Should RNA space be used for ESS front ends in cloud, consistent with on-premises ESS design?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Referenced as an option. No decision. Back-end ESS services require routable space. Front-end RNA applicability in cloud unclear.</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What is the high-level ESS-in-cloud design (overall architecture)?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attendee proposed adding this as a topic for next week’s Cloud Summit session. Michael agreed.</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Regional summarization CIDR design: how should address space be pre-allocated per region for each Cloud WAN segment?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on next week’s agenda (Shyam/China confirmed). Regional summarization agreed as a requirement for MCBB 3.0.</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Which ESS workloads are realistic cloud candidates (single-region vs. global)?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current requests are single-region. Aspirational: globally reachable ESS (Splunk, Bastion, etc.). No formal list produced.</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How does the Inspection segment firewall interact with ESS-to-Prod and ESS-to-Non-Prod traffic flows?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Directionally agreed: all inter-segment traffic routes through inspection VPC. Specific rule sets and exceptions not yet defined.</w:t>
            </w:r>
          </w:p>
        </w:tc>
      </w:tr>
    </w:tbl>
    <w:p>
      <w:pPr>
        <w:pBdr>
          <w:bottom w:val="single" w:color="2E74B5" w:sz="6" w:space="1"/>
        </w:pBdr>
        <w:spacing w:after="160" w:before="160"/>
      </w:pPr>
    </w:p>
    <w:p>
      <w:pPr>
        <w:pStyle w:val="Heading1"/>
        <w:spacing w:after="160" w:before="320"/>
      </w:pPr>
      <w:r>
        <w:rPr>
          <w:rFonts w:ascii="Arial" w:cs="Arial" w:eastAsia="Arial" w:hAnsi="Arial"/>
          <w:b/>
          <w:bCs/>
          <w:color w:val="1F4E79"/>
          <w:sz w:val="28"/>
          <w:szCs w:val="28"/>
        </w:rPr>
        <w:t xml:space="preserve">4.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680"/>
        <w:gridCol w:w="1480"/>
      </w:tblGrid>
      <w:tr>
        <w:trPr>
          <w:tblHeader/>
        </w:trPr>
        <w:tc>
          <w:tcPr>
            <w:tcW w:type="dxa" w:w="40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80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168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8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“ESS in Cloud — High-Level Architecture Design” as a formal topic to next week’s Cloud Summit agenda.</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Meeting Attendee / Michael</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next week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summarized IP allocations per Cloud WAN segment — already on next week’s agenda (Shyam/China confirmed). Prepare supporting material.</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Shyam / China</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week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Scott’s ESS documentation: circulate finalized version to all relevant stakeholders. Ensure it captures current Versa-based ESS exceptions and the limitations that drove this discussion.</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Scott</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Near-term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and document the proposed ESS/Shared Services segment design for MCBB 3.0: Cloud WAN segment placement, Global Accelerator / Route 53 front-end model, back-end regional architecture, and RNA vs. routable address strategy.</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Meeting Attendee + Anton</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Cloud Summit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 whether RNA address space is applicable and feasible for ESS front-end exposure in AWS cloud. Validate against CSP constraints.</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Anton / Meeting Attendee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candidate ESS workloads for cloud migration (Splunk, Bastion, etc.) and assess single-region vs. global deployment requirements.</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Scott / Meeting Attendee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Summit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 high-level ESS-in-cloud architecture diagram for Cloud Summit presentation and discussion.</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Meeting Attendee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Cloud Summit</w:t>
            </w:r>
          </w:p>
        </w:tc>
      </w:tr>
    </w:tbl>
    <w:p>
      <w:pPr>
        <w:pBdr>
          <w:bottom w:val="single" w:color="2E74B5" w:sz="6" w:space="1"/>
        </w:pBdr>
        <w:spacing w:after="160" w:before="160"/>
      </w:pPr>
    </w:p>
    <w:p>
      <w:pPr>
        <w:pStyle w:val="Heading1"/>
        <w:spacing w:after="160" w:before="320"/>
      </w:pPr>
      <w:r>
        <w:rPr>
          <w:rFonts w:ascii="Arial" w:cs="Arial" w:eastAsia="Arial" w:hAnsi="Arial"/>
          <w:b/>
          <w:bCs/>
          <w:color w:val="1F4E79"/>
          <w:sz w:val="28"/>
          <w:szCs w:val="28"/>
        </w:rPr>
        <w:t xml:space="preserve">5. Next Steps</w:t>
      </w:r>
    </w:p>
    <w:p>
      <w:pPr>
        <w:pStyle w:val="ListParagraph"/>
        <w:numPr>
          <w:ilvl w:val="0"/>
          <w:numId w:val="2"/>
        </w:numPr>
        <w:spacing w:after="40" w:before="40"/>
      </w:pPr>
      <w:r>
        <w:rPr>
          <w:rFonts w:ascii="Arial" w:cs="Arial" w:eastAsia="Arial" w:hAnsi="Arial"/>
          <w:b w:val="false"/>
          <w:bCs w:val="false"/>
          <w:sz w:val="22"/>
          <w:szCs w:val="22"/>
        </w:rPr>
        <w:t xml:space="preserve">Next week’s Cloud Summit / working session will cover:</w:t>
      </w:r>
    </w:p>
    <w:p>
      <w:pPr>
        <w:pStyle w:val="ListParagraph"/>
        <w:numPr>
          <w:ilvl w:val="0"/>
          <w:numId w:val="3"/>
        </w:numPr>
        <w:spacing w:after="30" w:before="30"/>
      </w:pPr>
      <w:r>
        <w:rPr>
          <w:rFonts w:ascii="Arial" w:cs="Arial" w:eastAsia="Arial" w:hAnsi="Arial"/>
          <w:sz w:val="20"/>
          <w:szCs w:val="20"/>
        </w:rPr>
        <w:t xml:space="preserve">Summarized IP allocations per region (already on agenda — Shyam/China)</w:t>
      </w:r>
    </w:p>
    <w:p>
      <w:pPr>
        <w:pStyle w:val="ListParagraph"/>
        <w:numPr>
          <w:ilvl w:val="0"/>
          <w:numId w:val="3"/>
        </w:numPr>
        <w:spacing w:after="30" w:before="30"/>
      </w:pPr>
      <w:r>
        <w:rPr>
          <w:rFonts w:ascii="Arial" w:cs="Arial" w:eastAsia="Arial" w:hAnsi="Arial"/>
          <w:sz w:val="20"/>
          <w:szCs w:val="20"/>
        </w:rPr>
        <w:t xml:space="preserve">ESS in Cloud — high-level architecture design (to be added to agenda)</w:t>
      </w:r>
    </w:p>
    <w:p>
      <w:pPr>
        <w:pStyle w:val="ListParagraph"/>
        <w:numPr>
          <w:ilvl w:val="0"/>
          <w:numId w:val="3"/>
        </w:numPr>
        <w:spacing w:after="30" w:before="30"/>
      </w:pPr>
      <w:r>
        <w:rPr>
          <w:rFonts w:ascii="Arial" w:cs="Arial" w:eastAsia="Arial" w:hAnsi="Arial"/>
          <w:sz w:val="20"/>
          <w:szCs w:val="20"/>
        </w:rPr>
        <w:t xml:space="preserve">MCBB 3.0 Cloud WAN segment architecture (ongoing)</w:t>
      </w:r>
    </w:p>
    <w:p>
      <w:pPr>
        <w:pStyle w:val="ListParagraph"/>
        <w:numPr>
          <w:ilvl w:val="0"/>
          <w:numId w:val="2"/>
        </w:numPr>
        <w:spacing w:after="40" w:before="40"/>
      </w:pPr>
      <w:r>
        <w:rPr>
          <w:rFonts w:ascii="Arial" w:cs="Arial" w:eastAsia="Arial" w:hAnsi="Arial"/>
          <w:b w:val="false"/>
          <w:bCs w:val="false"/>
          <w:sz w:val="22"/>
          <w:szCs w:val="22"/>
        </w:rPr>
        <w:t xml:space="preserve">Meeting attendee to produce an ESS-in-cloud architecture artifact (design sketch) prior to next week to anchor the discussion.</w:t>
      </w:r>
    </w:p>
    <w:p>
      <w:pPr>
        <w:pStyle w:val="ListParagraph"/>
        <w:numPr>
          <w:ilvl w:val="0"/>
          <w:numId w:val="2"/>
        </w:numPr>
        <w:spacing w:after="40" w:before="40"/>
      </w:pPr>
      <w:r>
        <w:rPr>
          <w:rFonts w:ascii="Arial" w:cs="Arial" w:eastAsia="Arial" w:hAnsi="Arial"/>
          <w:b w:val="false"/>
          <w:bCs w:val="false"/>
          <w:sz w:val="22"/>
          <w:szCs w:val="22"/>
        </w:rPr>
        <w:t xml:space="preserve">Anton deep-dive on MCBB 2.5 configurations (scheduled for this week, afternoons) will provide the foundational understanding needed to finalize segment and IP design.</w:t>
      </w:r>
    </w:p>
    <w:p>
      <w:pPr>
        <w:pStyle w:val="ListParagraph"/>
        <w:numPr>
          <w:ilvl w:val="0"/>
          <w:numId w:val="2"/>
        </w:numPr>
        <w:spacing w:after="40" w:before="40"/>
      </w:pPr>
      <w:r>
        <w:rPr>
          <w:rFonts w:ascii="Arial" w:cs="Arial" w:eastAsia="Arial" w:hAnsi="Arial"/>
          <w:b w:val="false"/>
          <w:bCs w:val="false"/>
          <w:sz w:val="22"/>
          <w:szCs w:val="22"/>
        </w:rPr>
        <w:t xml:space="preserve">Scott’s ESS documentation to be finalized and distributed as the authoritative current-state reference.</w:t>
      </w:r>
    </w:p>
    <w:p>
      <w:pPr>
        <w:pBdr>
          <w:bottom w:val="single" w:color="2E74B5" w:sz="6" w:space="1"/>
        </w:pBdr>
        <w:spacing w:after="160" w:before="160"/>
      </w:pPr>
    </w:p>
    <w:p>
      <w:pPr>
        <w:pStyle w:val="Heading1"/>
        <w:spacing w:after="160" w:before="320"/>
      </w:pPr>
      <w:r>
        <w:rPr>
          <w:rFonts w:ascii="Arial" w:cs="Arial" w:eastAsia="Arial" w:hAnsi="Arial"/>
          <w:b/>
          <w:bCs/>
          <w:color w:val="1F4E79"/>
          <w:sz w:val="28"/>
          <w:szCs w:val="28"/>
        </w:rPr>
        <w:t xml:space="preserve">6. Key Decisions &amp; Confirmed Positions</w:t>
      </w:r>
    </w:p>
    <w:p>
      <w:pPr>
        <w:pStyle w:val="ListParagraph"/>
        <w:numPr>
          <w:ilvl w:val="0"/>
          <w:numId w:val="2"/>
        </w:numPr>
        <w:spacing w:after="40" w:before="40"/>
      </w:pPr>
      <w:r>
        <w:rPr>
          <w:rFonts w:ascii="Arial" w:cs="Arial" w:eastAsia="Arial" w:hAnsi="Arial"/>
          <w:b w:val="false"/>
          <w:bCs w:val="false"/>
          <w:sz w:val="22"/>
          <w:szCs w:val="22"/>
        </w:rPr>
        <w:t xml:space="preserve">ESS is a distinct shared services tier — not Prod, not Non-Prod. Must be treated as a separate Cloud WAN segment.</w:t>
      </w:r>
    </w:p>
    <w:p>
      <w:pPr>
        <w:pStyle w:val="ListParagraph"/>
        <w:numPr>
          <w:ilvl w:val="0"/>
          <w:numId w:val="2"/>
        </w:numPr>
        <w:spacing w:after="40" w:before="40"/>
      </w:pPr>
      <w:r>
        <w:rPr>
          <w:rFonts w:ascii="Arial" w:cs="Arial" w:eastAsia="Arial" w:hAnsi="Arial"/>
          <w:b w:val="false"/>
          <w:bCs w:val="false"/>
          <w:sz w:val="22"/>
          <w:szCs w:val="22"/>
        </w:rPr>
        <w:t xml:space="preserve">The two problems (ESS as a function; Prod-to-Non-Prod exceptions) must be architecturally separated and solved independently.</w:t>
      </w:r>
    </w:p>
    <w:p>
      <w:pPr>
        <w:pStyle w:val="ListParagraph"/>
        <w:numPr>
          <w:ilvl w:val="0"/>
          <w:numId w:val="2"/>
        </w:numPr>
        <w:spacing w:after="40" w:before="40"/>
      </w:pPr>
      <w:r>
        <w:rPr>
          <w:rFonts w:ascii="Arial" w:cs="Arial" w:eastAsia="Arial" w:hAnsi="Arial"/>
          <w:b w:val="false"/>
          <w:bCs w:val="false"/>
          <w:sz w:val="22"/>
          <w:szCs w:val="22"/>
        </w:rPr>
        <w:t xml:space="preserve">Cloud WAN segments (Prod, Non-Prod, Shared Services/ESS, Inspection) are the confirmed go-forward segmentation model for MCBB 3.0, replacing Versa-based zone enforcement.</w:t>
      </w:r>
    </w:p>
    <w:p>
      <w:pPr>
        <w:pStyle w:val="ListParagraph"/>
        <w:numPr>
          <w:ilvl w:val="0"/>
          <w:numId w:val="2"/>
        </w:numPr>
        <w:spacing w:after="40" w:before="40"/>
      </w:pPr>
      <w:r>
        <w:rPr>
          <w:rFonts w:ascii="Arial" w:cs="Arial" w:eastAsia="Arial" w:hAnsi="Arial"/>
          <w:b w:val="false"/>
          <w:bCs w:val="false"/>
          <w:sz w:val="22"/>
          <w:szCs w:val="22"/>
        </w:rPr>
        <w:t xml:space="preserve">An Inspection VPC with AWS-native firewall (and/or Palo Alto) will serve as the inter-segment traffic gatekeeper, deployed per AWS region.</w:t>
      </w:r>
    </w:p>
    <w:p>
      <w:pPr>
        <w:pStyle w:val="ListParagraph"/>
        <w:numPr>
          <w:ilvl w:val="0"/>
          <w:numId w:val="2"/>
        </w:numPr>
        <w:spacing w:after="40" w:before="40"/>
      </w:pPr>
      <w:r>
        <w:rPr>
          <w:rFonts w:ascii="Arial" w:cs="Arial" w:eastAsia="Arial" w:hAnsi="Arial"/>
          <w:b w:val="false"/>
          <w:bCs w:val="false"/>
          <w:sz w:val="22"/>
          <w:szCs w:val="22"/>
        </w:rPr>
        <w:t xml:space="preserve">Regional IP summarization is a confirmed MCBB 3.0 requirement — to be finalized at next week’s session.</w:t>
      </w:r>
    </w:p>
    <w:p>
      <w:pPr>
        <w:pStyle w:val="ListParagraph"/>
        <w:numPr>
          <w:ilvl w:val="0"/>
          <w:numId w:val="2"/>
        </w:numPr>
        <w:spacing w:after="40" w:before="40"/>
      </w:pPr>
      <w:r>
        <w:rPr>
          <w:rFonts w:ascii="Arial" w:cs="Arial" w:eastAsia="Arial" w:hAnsi="Arial"/>
          <w:b w:val="false"/>
          <w:bCs w:val="false"/>
          <w:sz w:val="22"/>
          <w:szCs w:val="22"/>
        </w:rPr>
        <w:t xml:space="preserve">A dedicated CIDR block for ESS in cloud is the desired direction — specific block and assignment model TBD.</w:t>
      </w:r>
    </w:p>
    <w:p>
      <w:pPr>
        <w:pStyle w:val="ListParagraph"/>
        <w:numPr>
          <w:ilvl w:val="0"/>
          <w:numId w:val="2"/>
        </w:numPr>
        <w:spacing w:after="40" w:before="40"/>
      </w:pPr>
      <w:r>
        <w:rPr>
          <w:rFonts w:ascii="Arial" w:cs="Arial" w:eastAsia="Arial" w:hAnsi="Arial"/>
          <w:b w:val="false"/>
          <w:bCs w:val="false"/>
          <w:sz w:val="22"/>
          <w:szCs w:val="22"/>
        </w:rPr>
        <w:t xml:space="preserve">On-premises ESS redesign is explicitly out of scope for this team.</w:t>
      </w:r>
    </w:p>
    <w:p>
      <w:pPr>
        <w:pStyle w:val="ListParagraph"/>
        <w:numPr>
          <w:ilvl w:val="0"/>
          <w:numId w:val="2"/>
        </w:numPr>
        <w:spacing w:after="40" w:before="40"/>
      </w:pPr>
      <w:r>
        <w:rPr>
          <w:rFonts w:ascii="Arial" w:cs="Arial" w:eastAsia="Arial" w:hAnsi="Arial"/>
          <w:b w:val="false"/>
          <w:bCs w:val="false"/>
          <w:sz w:val="22"/>
          <w:szCs w:val="22"/>
        </w:rPr>
        <w:t xml:space="preserve">AWS Cloud WAN ESS segment design, once finalized, is expected to be directly portable to Azure with equivalent constructs.</w:t>
      </w:r>
    </w:p>
    <w:p>
      <w:pPr>
        <w:pBdr>
          <w:bottom w:val="single" w:color="2E74B5" w:sz="6" w:space="1"/>
        </w:pBdr>
        <w:spacing w:after="160" w:before="160"/>
      </w:pPr>
    </w:p>
    <w:p>
      <w:pPr>
        <w:spacing w:after="0" w:before="240"/>
        <w:jc w:val="center"/>
      </w:pPr>
      <w:r>
        <w:rPr>
          <w:rFonts w:ascii="Arial" w:cs="Arial" w:eastAsia="Arial" w:hAnsi="Arial"/>
          <w:i/>
          <w:iCs/>
          <w:color w:val="999999"/>
          <w:sz w:val="18"/>
          <w:szCs w:val="18"/>
        </w:rPr>
        <w:t xml:space="preserve">END OF MINUTES — April 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2026-04-07T20:37:56.986Z</dcterms:created>
  <dcterms:modified xsi:type="dcterms:W3CDTF">2026-04-07T20:37:56.986Z</dcterms:modified>
</cp:coreProperties>
</file>

<file path=docProps/custom.xml><?xml version="1.0" encoding="utf-8"?>
<Properties xmlns="http://schemas.openxmlformats.org/officeDocument/2006/custom-properties" xmlns:vt="http://schemas.openxmlformats.org/officeDocument/2006/docPropsVTypes"/>
</file>