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41E" w:rsidRPr="00D22D61" w:rsidRDefault="00614F5F" w:rsidP="005019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EFCD7D" wp14:editId="7FAB3FEC">
            <wp:simplePos x="0" y="0"/>
            <wp:positionH relativeFrom="column">
              <wp:posOffset>-71562</wp:posOffset>
            </wp:positionH>
            <wp:positionV relativeFrom="paragraph">
              <wp:posOffset>-715618</wp:posOffset>
            </wp:positionV>
            <wp:extent cx="922655" cy="572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DCE" w:rsidRPr="00684DCE">
        <w:rPr>
          <w:rFonts w:ascii="Times New Roman" w:hAnsi="Times New Roman" w:cs="Times New Roman"/>
          <w:b/>
          <w:noProof/>
          <w:sz w:val="24"/>
          <w:szCs w:val="24"/>
        </w:rPr>
        <w:t>СПЕЦИА</w:t>
      </w:r>
      <w:bookmarkStart w:id="0" w:name="_GoBack"/>
      <w:bookmarkEnd w:id="0"/>
      <w:r w:rsidR="00684DCE" w:rsidRPr="00684DCE">
        <w:rPr>
          <w:rFonts w:ascii="Times New Roman" w:hAnsi="Times New Roman" w:cs="Times New Roman"/>
          <w:b/>
          <w:noProof/>
          <w:sz w:val="24"/>
          <w:szCs w:val="24"/>
        </w:rPr>
        <w:t>ЛЬНАЯ ОЦЕНКА УСЛОВИЙ ТРУДА</w:t>
      </w:r>
    </w:p>
    <w:p w:rsidR="00D22D61" w:rsidRPr="00D22D61" w:rsidRDefault="00D22D61" w:rsidP="00457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84DCE" w:rsidRDefault="00684DCE" w:rsidP="00684DCE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684DCE">
        <w:rPr>
          <w:b/>
          <w:bCs/>
          <w:color w:val="000000"/>
          <w:sz w:val="28"/>
          <w:szCs w:val="22"/>
        </w:rPr>
        <w:t>Документы, регламентирующие СОУТ</w:t>
      </w:r>
    </w:p>
    <w:p w:rsidR="00684DCE" w:rsidRDefault="00684DCE" w:rsidP="00684DCE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Перечень основных документов: </w:t>
      </w:r>
    </w:p>
    <w:p w:rsidR="00684DCE" w:rsidRDefault="00684DCE" w:rsidP="00684DCE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</w:t>
      </w:r>
      <w:r>
        <w:rPr>
          <w:color w:val="000000"/>
          <w:sz w:val="22"/>
          <w:szCs w:val="22"/>
        </w:rPr>
        <w:t>Трудовой кодекс Российской Федерации от 30.12.2001 № 197-ФЗ;</w:t>
      </w:r>
    </w:p>
    <w:p w:rsidR="00684DCE" w:rsidRDefault="00684DCE" w:rsidP="00684DCE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</w:t>
      </w:r>
      <w:r>
        <w:rPr>
          <w:color w:val="000000"/>
          <w:sz w:val="22"/>
          <w:szCs w:val="22"/>
        </w:rPr>
        <w:t>Федеральный закон «Об обязательном социальном страховании от несчастных случаев на производстве и профессиональных заболеваний» от 24.07.1998 № 125-ФЗ;</w:t>
      </w:r>
    </w:p>
    <w:p w:rsidR="00684DCE" w:rsidRDefault="00684DCE" w:rsidP="00684DCE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</w:t>
      </w:r>
      <w:r>
        <w:rPr>
          <w:rStyle w:val="apple-tab-span"/>
          <w:rFonts w:eastAsia="Calibri"/>
          <w:color w:val="000000"/>
          <w:sz w:val="12"/>
          <w:szCs w:val="12"/>
        </w:rPr>
        <w:tab/>
      </w:r>
      <w:r>
        <w:rPr>
          <w:color w:val="000000"/>
          <w:sz w:val="22"/>
          <w:szCs w:val="22"/>
        </w:rPr>
        <w:t>Федеральный Закон от 28.12.2013 № 426-ФЗ «О специальной оценке условий труда»;</w:t>
      </w:r>
    </w:p>
    <w:p w:rsidR="00684DCE" w:rsidRDefault="00684DCE" w:rsidP="00684DCE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</w:t>
      </w:r>
      <w:r>
        <w:rPr>
          <w:rStyle w:val="apple-tab-span"/>
          <w:rFonts w:eastAsia="Calibri"/>
          <w:color w:val="000000"/>
          <w:sz w:val="12"/>
          <w:szCs w:val="12"/>
        </w:rPr>
        <w:tab/>
      </w:r>
      <w:r>
        <w:rPr>
          <w:color w:val="000000"/>
          <w:sz w:val="22"/>
          <w:szCs w:val="22"/>
        </w:rPr>
        <w:t>Методика проведения специальной оценки условий труда, утвержденная приказом Минтруда от 24.01.2014 № 33н;</w:t>
      </w:r>
    </w:p>
    <w:p w:rsidR="00684DCE" w:rsidRDefault="00684DCE" w:rsidP="00684DCE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</w:t>
      </w:r>
      <w:r>
        <w:rPr>
          <w:color w:val="000000"/>
          <w:sz w:val="22"/>
          <w:szCs w:val="22"/>
        </w:rPr>
        <w:t>Методика снижения класса (подкласса) условий труда при применении работниками, занятыми на рабочих местах с вредными условиями труда, эффективных средств индивидуальной защиты, утвержденная приказом Минтруда от 05.12.2014 № 976н;</w:t>
      </w:r>
    </w:p>
    <w:p w:rsidR="00684DCE" w:rsidRDefault="00684DCE" w:rsidP="00684DCE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</w:t>
      </w:r>
      <w:r>
        <w:rPr>
          <w:color w:val="000000"/>
          <w:sz w:val="22"/>
          <w:szCs w:val="22"/>
        </w:rPr>
        <w:t>Приказ Минтруда от 07.02.2014 № 80н «О форме и порядке подачи декларации соответствия условий труда государственным нормативным требованиям охраны труда»;</w:t>
      </w:r>
    </w:p>
    <w:p w:rsidR="00684DCE" w:rsidRDefault="00684DCE" w:rsidP="00684DCE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</w:t>
      </w:r>
      <w:r>
        <w:rPr>
          <w:color w:val="000000"/>
          <w:sz w:val="22"/>
          <w:szCs w:val="22"/>
        </w:rPr>
        <w:t>Руководство Роспотребнадзора от 29.07.2005 «</w:t>
      </w:r>
      <w:proofErr w:type="gramStart"/>
      <w:r>
        <w:rPr>
          <w:color w:val="000000"/>
          <w:sz w:val="22"/>
          <w:szCs w:val="22"/>
        </w:rPr>
        <w:t>Руководство по гигиенической оценке</w:t>
      </w:r>
      <w:proofErr w:type="gramEnd"/>
      <w:r>
        <w:rPr>
          <w:color w:val="000000"/>
          <w:sz w:val="22"/>
          <w:szCs w:val="22"/>
        </w:rPr>
        <w:t xml:space="preserve"> факторов рабочей среды и трудового процесса. Критерии и классификация условий труда. Р 2.2.2006-05»</w:t>
      </w:r>
    </w:p>
    <w:p w:rsidR="00684DCE" w:rsidRDefault="00684DCE" w:rsidP="00684DCE">
      <w:pPr>
        <w:pStyle w:val="ad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ВАЖНО!</w:t>
      </w:r>
      <w:r>
        <w:rPr>
          <w:color w:val="000000"/>
          <w:sz w:val="22"/>
          <w:szCs w:val="22"/>
        </w:rPr>
        <w:t xml:space="preserve"> Для отдельных видов деятельности, которые указаны в постановлении Правительства от 14.04.2014 № 290, специальную оценку условий труда проводят по особым правилам (ч. 7 ст. 9 Закона от 28.12.2013 № 426-ФЗ).</w:t>
      </w:r>
    </w:p>
    <w:p w:rsidR="0038226F" w:rsidRDefault="0038226F" w:rsidP="00684DCE">
      <w:pPr>
        <w:pStyle w:val="ad"/>
        <w:spacing w:before="240" w:beforeAutospacing="0" w:after="0" w:afterAutospacing="0"/>
        <w:rPr>
          <w:color w:val="000000"/>
          <w:sz w:val="22"/>
          <w:szCs w:val="22"/>
        </w:rPr>
      </w:pPr>
    </w:p>
    <w:p w:rsidR="0038226F" w:rsidRDefault="0038226F" w:rsidP="0038226F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38226F">
        <w:rPr>
          <w:b/>
          <w:bCs/>
          <w:color w:val="000000"/>
          <w:sz w:val="28"/>
          <w:szCs w:val="22"/>
        </w:rPr>
        <w:t>Функции специализированной организации, проводящей СОУТ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Приглашенная работодателем независимая специализированная организация анализирует состояние условий труда на заранее определенных рабочих местах и выявляет (или не выявляет) на них вредные и (или) опасные производственные факторы.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Если они выявлены, то эксперты специализированной организации: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оценивают уровень их воздействия на работника;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определяют степень отклонения полученных значений от установленных нормативов;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проверяют, правильно ли применяются средства индивидуальной и коллективной защиты работников.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Эти мероприятия в комплексе составляют суть специальной оценки условий труда.</w:t>
      </w:r>
    </w:p>
    <w:p w:rsidR="0038226F" w:rsidRPr="0038226F" w:rsidRDefault="0038226F" w:rsidP="00E955B3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38226F">
        <w:rPr>
          <w:b/>
          <w:bCs/>
          <w:color w:val="000000"/>
          <w:sz w:val="28"/>
          <w:szCs w:val="22"/>
        </w:rPr>
        <w:t>Идентификация потенциально вредных и (или) опасных производственных факторов 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Под идентификацией потенциально вредных и (или) опасных производственных факторов понимают сопоставление и установление совпадения имеющихся на рабочих местах факторов производственной среды и трудового процесса с факторами производственной среды и трудового процесса,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предусмотренными классификатором вредных и (или) опасных производственных факторов, утвержденным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труда, с учетом мнения Российской трехсторонней комиссии по регулированию социально-трудовых отношений.  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Процедура идентификации потенциально вредных и (или) опасных производственных факторов устанавливается методикой проведения специальной оценки условий труда.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Идентификация потенциально вредных и (или) опасных производственных факторов на рабочих местах осуществляется экспертом организации, проводящей специальную оценку условий труда.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 Результаты идентификации потенциально вредных и (или) опасных производственных факторов утверждаются комиссией работодателя. 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При осуществлении на рабочих местах идентификации потенциально вредных и (или) опасных производственных факторов должны учитываться: </w:t>
      </w:r>
    </w:p>
    <w:p w:rsidR="0038226F" w:rsidRPr="0038226F" w:rsidRDefault="0038226F" w:rsidP="0038226F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производственное оборудование, материалы и сырье, используемые работниками и являющиеся источниками вредных и (или) опасных производственных факторов, которые идентифицируются и при наличии которых в случаях, установленных законодательством РФ, проводятся обязательные предварительные (при поступлении на работу) и периодические (в течение трудовой деятельности) медицинские осмотры работников;</w:t>
      </w:r>
    </w:p>
    <w:p w:rsidR="0038226F" w:rsidRPr="0038226F" w:rsidRDefault="0038226F" w:rsidP="0038226F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результаты ранее проводившихся на данных рабочих местах исследований (испытаний) и измерений вредных и (или) опасных производственных факторов;</w:t>
      </w:r>
    </w:p>
    <w:p w:rsidR="0038226F" w:rsidRPr="0038226F" w:rsidRDefault="0038226F" w:rsidP="0038226F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случаи производственного травматизма и (или) установления профессионального заболевания, возникшие в связи с воздействием на работника на его рабочем месте вредных и (или) опасных производственных факторов;</w:t>
      </w:r>
    </w:p>
    <w:p w:rsidR="0038226F" w:rsidRPr="0038226F" w:rsidRDefault="0038226F" w:rsidP="0038226F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предложения работников по осуществлению на их рабочих местах идентификации потенциально вредных и (или) опасных производственных факторов. 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 случае, если вредные и (или) опасные производственные факторы на рабочем месте не идентифицированы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, условия труда на данном рабочем месте признаются комиссией допустимыми, а исследования (испытания) и измерения вредных и (или) опасных производственных факторов не проводятся.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 случае, если вредные и (или) опасные производственные факторы на рабочем месте идентифицированы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, комиссия принимает решение о проведении исследований (испытаний) и измерений данных вредных и (или) опасных производственных факторов.  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Категории рабочих мест, в отношении которых идентификация потенциально вредных и (или) опасных производственных факторов не проводится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38226F" w:rsidRPr="0038226F" w:rsidRDefault="0038226F" w:rsidP="0038226F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Рабочие места работников, профессии, должности, специальности которых включены в списки соответствующих работ, производств, профессий, должностей, специальностей и учреждений (организаций), с учетом которых осуществляется досрочное назначение трудовой пенсии по старости;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рабочие места, в связи с работой на которых работникам в соответствии с законодательными и иными нормативными правовыми </w:t>
      </w:r>
      <w:proofErr w:type="gram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актами  предоставляются</w:t>
      </w:r>
      <w:proofErr w:type="gram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 гарантии и компенсации за работу с вредными и (или) опасными условиями труда;</w:t>
      </w:r>
    </w:p>
    <w:p w:rsidR="0038226F" w:rsidRPr="0038226F" w:rsidRDefault="0038226F" w:rsidP="0038226F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•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рабочие места, на которых по результатам ранее проведенных аттестации рабочих мест по условиям труда или специальной оценки условий труда были установлены вредные и (или) опасные условия труда.</w:t>
      </w:r>
    </w:p>
    <w:p w:rsidR="0038226F" w:rsidRPr="00E955B3" w:rsidRDefault="0038226F" w:rsidP="00E955B3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E955B3">
        <w:rPr>
          <w:b/>
          <w:bCs/>
          <w:color w:val="000000"/>
          <w:sz w:val="28"/>
          <w:szCs w:val="22"/>
        </w:rPr>
        <w:t>Вредные и (или) опасные факторы, подлежащие исследованию при проведении СОУТ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Физические факторы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Аэрозоли преимущественно </w:t>
      </w:r>
      <w:proofErr w:type="spellStart"/>
      <w:r>
        <w:rPr>
          <w:color w:val="000000"/>
          <w:sz w:val="22"/>
          <w:szCs w:val="22"/>
        </w:rPr>
        <w:t>фиброгенного</w:t>
      </w:r>
      <w:proofErr w:type="spellEnd"/>
      <w:r>
        <w:rPr>
          <w:color w:val="000000"/>
          <w:sz w:val="22"/>
          <w:szCs w:val="22"/>
        </w:rPr>
        <w:t xml:space="preserve"> действия, шум, инфразвук, ультразвук воздушный, вибрация общая и локальная, неионизирующие излучения (электростатическое поле, постоянное магнитное поле, в том числе </w:t>
      </w:r>
      <w:proofErr w:type="spellStart"/>
      <w:r>
        <w:rPr>
          <w:color w:val="000000"/>
          <w:sz w:val="22"/>
          <w:szCs w:val="22"/>
        </w:rPr>
        <w:t>гипогеомагнитное</w:t>
      </w:r>
      <w:proofErr w:type="spellEnd"/>
      <w:r>
        <w:rPr>
          <w:color w:val="000000"/>
          <w:sz w:val="22"/>
          <w:szCs w:val="22"/>
        </w:rPr>
        <w:t>, электрические и магнитные поля промышленной частоты (50 Герц), переменные электромагнитные поля, в том числе радиочастотного диапазона и оптического диапазона (лазерное и ультрафиолетовое), ионизирующие излучения, параметры микроклимата (температура воздуха, относительная влажность воздуха, скорость движения воздуха, инфракрасное излучение), параметры световой среды (искусственное освещение (освещенность) рабочей поверхности).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Химические факторы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Химические вещества и смеси, измеряемые в воздухе рабочей зоны и на кожных покровах работников, в том числе некоторые вещества биологической природы (антибиотики, витамины, гормоны, ферменты, белковые препараты), которые получают химическим синтезом и (или) для контроля содержания которых используют методы химического анализа.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Биологические факторы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Микроорганизмы-продуценты, живые клетки и споры, содержащиеся в бактериальных препаратах, патогенные микроорганизмы - возбудители инфекционных заболеваний.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Факторы трудового процесса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Тяжесть трудового процесса - показатели физической нагрузки на опорно-двигательный аппарат и на функциональные системы организма работника;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напряженность трудового процесса - показатели сенсорной нагрузки на центральную нервную систему и органы чувств работника.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Вредными и (или) опасными Трудовой кодекс (ст. 209) признает такие условия труда, которые могут привести к заболеванию или травме работника. Если на рабочих местах выявлены вредные и (или) опасные факторы, эксперты специализированной организации </w:t>
      </w:r>
      <w:r>
        <w:rPr>
          <w:b/>
          <w:bCs/>
          <w:color w:val="000000"/>
          <w:sz w:val="22"/>
          <w:szCs w:val="22"/>
        </w:rPr>
        <w:t>проводят инструментальные замеры</w:t>
      </w:r>
      <w:r>
        <w:rPr>
          <w:color w:val="000000"/>
          <w:sz w:val="22"/>
          <w:szCs w:val="22"/>
        </w:rPr>
        <w:t>, чтобы определить уровень влияния этих факторов на работников и установить класс условий труда. </w:t>
      </w:r>
    </w:p>
    <w:p w:rsidR="0038226F" w:rsidRPr="00E955B3" w:rsidRDefault="0038226F" w:rsidP="00E955B3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E955B3">
        <w:rPr>
          <w:b/>
          <w:bCs/>
          <w:color w:val="000000"/>
          <w:sz w:val="28"/>
          <w:szCs w:val="22"/>
        </w:rPr>
        <w:t>Какие факторы измеряют в ходе СОУТ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Испытательная лаборатория (центр) проводит исследования (испытания) и измерения следующих вредных и (или) опасных факторов производственной среды и трудового процесса: 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температура воздуха;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относительная влажность воздуха;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скорость движения воздуха;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интенсивность и экспозиционная доза инфракрасного излучения;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lastRenderedPageBreak/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напряженность переменного электрического поля промышленной частоты (50 Герц);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напряженность переменного магнитного поля промышленной частоты (50 Герц);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напряженность переменного электрического поля электромагнитных излучений радиочастотного диапазона;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напряженность переменного магнитного поля электромагнитных излучений радиочастотного диапазона;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напряженность электростатического поля и постоянного магнитного поля;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интенсивность источников ультрафиолетового излучения в диапазоне длин волн 200 – 400 нанометров;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энергетическая освещенность в диапазонах длин волн УФ-А (= 400 - 315 нанометров), УФ- В (= 315 - 280 нанометров), УФ-С (= 280 - 200 нанометров);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энергетическая экспозиция лазерного излучения;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 xml:space="preserve">мощность </w:t>
      </w:r>
      <w:proofErr w:type="spellStart"/>
      <w:r>
        <w:rPr>
          <w:color w:val="000000"/>
          <w:sz w:val="22"/>
          <w:szCs w:val="22"/>
        </w:rPr>
        <w:t>амбиентного</w:t>
      </w:r>
      <w:proofErr w:type="spellEnd"/>
      <w:r>
        <w:rPr>
          <w:color w:val="000000"/>
          <w:sz w:val="22"/>
          <w:szCs w:val="22"/>
        </w:rPr>
        <w:t xml:space="preserve"> эквивалента дозы гамма-излучения, рентгеновского и нейтронного излучений;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радиоактивное загрязнение производственных помещений, элементов производственного оборудования, средств индивидуальной защиты и кожных покровов работников;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уровень звука;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общий уровень звукового давления инфразвука;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ультразвук воздушный;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вибрация общая и локальная;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освещенность рабочей поверхности;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концентрация вредных химических веществ, в том числе веществ биологической природы (антибиотиков, витаминов, гормонов, ферментов, белковых препаратов), которые получают химическим синтезом и (или) для контроля содержания которых используют методы химического анализа, а также концентрация смесей таких веществ в воздухе рабочей зоны и на кожных покровах работников (в соответствии с областью аккредитации испытательной лаборатории (центра);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массовая концентрация аэрозолей в воздухе рабочей зоны;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биологические факторы (в соответствии с областью аккредитации испытательной лаборатории (центра);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тяжесть трудового процесса (длина пути перемещения груза, мышечное усилие, масса перемещаемых грузов, угол наклона корпуса тела работника и количество наклонов за рабочий день (смену), время удержания груза, количество стереотипных рабочих движений);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напряженность трудового процесса работников, трудовая функция которых: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        </w:t>
      </w:r>
      <w:r>
        <w:rPr>
          <w:rStyle w:val="apple-tab-span"/>
          <w:rFonts w:eastAsia="Calibri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- заключается в диспетчеризации производственных процессов, управлении транспортными средствами (длительность сосредоточенного наблюдения, плотность сигналов (световых, звуковых) и сообщений в единицу времени, число производственных объектов одновременного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lastRenderedPageBreak/>
        <w:t>наблюдения, нагрузка на слуховой анализатор, время активного наблюдения за ходом производственного процесса);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        </w:t>
      </w:r>
      <w:r>
        <w:rPr>
          <w:rStyle w:val="apple-tab-span"/>
          <w:rFonts w:eastAsia="Calibri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- заключается в обслуживании производственных процессов конвейерного типа (продолжительность выполнения единичной операции, число элементов (приемов), необходимых для реализации единичной операции);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        </w:t>
      </w:r>
      <w:r>
        <w:rPr>
          <w:rStyle w:val="apple-tab-span"/>
          <w:rFonts w:eastAsia="Calibri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- связана с длительной работой с оптическими приборами;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        </w:t>
      </w:r>
      <w:r>
        <w:rPr>
          <w:rStyle w:val="apple-tab-span"/>
          <w:rFonts w:eastAsia="Calibri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- связана с постоянной нагрузкой на голосовой аппарат.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Имейте в виду, что по отдельным видам работ, профессий, должностей, специальностей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труда, совместно с федеральным органом исполнительной власти, осуществляющим функции по выработке государственной политики и нормативно-правовому регулированию в соответствующей сфере деятельности, Государственной корпорацией по атомной энергии "Росатом" по согласованию с федеральным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органом исполнительной власти, осуществляющим функции по организации и осуществлению федерального государственного санитарно-эпидемиологического надзора, и с учетом мнения Российской трехсторонней комиссии по регулированию социально-трудовых отношений может устанавливаться дополнительный перечень вредных и (или) опасных факторов производственной среды и трудового процесса, подлежащих исследованию (испытанию) и измерению при проведении специальной оценки условий труда.</w:t>
      </w:r>
    </w:p>
    <w:p w:rsidR="0038226F" w:rsidRPr="00E955B3" w:rsidRDefault="0038226F" w:rsidP="00E955B3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E955B3">
        <w:rPr>
          <w:b/>
          <w:bCs/>
          <w:color w:val="000000"/>
          <w:sz w:val="28"/>
          <w:szCs w:val="22"/>
        </w:rPr>
        <w:t>Классификация условий труда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Условия труда по степени вредности и (или) опасности подразделяются на четыре класса: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оптимальные,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допустимые,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вредные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опасные.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Оптимальные</w:t>
      </w:r>
      <w:r>
        <w:rPr>
          <w:color w:val="000000"/>
          <w:sz w:val="22"/>
          <w:szCs w:val="22"/>
        </w:rPr>
        <w:t xml:space="preserve"> условия труда (1 класс) — условия труда, при которых воздействие на работника вредных и (или) опасных производственных факторов отсутствует или уровни воздействия которых не превышают уровни, установленные нормативами (гигиеническими нормативами) условий труда и принятые в качестве безопасных для человека, и создаются предпосылки для поддержания высокого уровня работоспособности работника.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Допустимые</w:t>
      </w:r>
      <w:r>
        <w:rPr>
          <w:color w:val="000000"/>
          <w:sz w:val="22"/>
          <w:szCs w:val="22"/>
        </w:rPr>
        <w:t xml:space="preserve"> условия труда (2 класс) — условия труда, при которых на работника воздействуют вредные и (или) опасные производственные факторы. При этом уровни воздействия этих факторов не превышают уровни, установленные нормативами (гигиеническими нормативами) условий труда, а измененное функциональное состояние организма </w:t>
      </w:r>
      <w:proofErr w:type="gramStart"/>
      <w:r>
        <w:rPr>
          <w:color w:val="000000"/>
          <w:sz w:val="22"/>
          <w:szCs w:val="22"/>
        </w:rPr>
        <w:t>работника  восстанавливается</w:t>
      </w:r>
      <w:proofErr w:type="gramEnd"/>
      <w:r>
        <w:rPr>
          <w:color w:val="000000"/>
          <w:sz w:val="22"/>
          <w:szCs w:val="22"/>
        </w:rPr>
        <w:t xml:space="preserve"> во время регламентированного отдыха или к началу следующего рабочего дня (смены).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Вредные</w:t>
      </w:r>
      <w:r>
        <w:rPr>
          <w:color w:val="000000"/>
          <w:sz w:val="22"/>
          <w:szCs w:val="22"/>
        </w:rPr>
        <w:t xml:space="preserve"> условиями труда (3 класс) — условия труда, при которых уровни воздействия вредных и (или) опасных производственных факторов превышают уровни, установленные нормативами (гигиеническими нормативами) условий труда, в том числе: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lastRenderedPageBreak/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b/>
          <w:bCs/>
          <w:color w:val="000000"/>
          <w:sz w:val="22"/>
          <w:szCs w:val="22"/>
        </w:rPr>
        <w:t>подкласс 3.1</w:t>
      </w:r>
      <w:r>
        <w:rPr>
          <w:color w:val="000000"/>
          <w:sz w:val="22"/>
          <w:szCs w:val="22"/>
        </w:rPr>
        <w:t xml:space="preserve"> (вредные условия труда 1 степени) - условия труда, при которых на работника воздействуют вредные и (или) опасные производственные факторы, после воздействия которых измененное функциональное состояние организма работника восстанавливается, как правило, при более длительном, чем до начала следующего рабочего дня (смены), прекращении воздействия данных факторов, и увеличивается риск повреждения здоровья;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b/>
          <w:bCs/>
          <w:color w:val="000000"/>
          <w:sz w:val="22"/>
          <w:szCs w:val="22"/>
        </w:rPr>
        <w:t>подкласс 3.2</w:t>
      </w:r>
      <w:r>
        <w:rPr>
          <w:color w:val="000000"/>
          <w:sz w:val="22"/>
          <w:szCs w:val="22"/>
        </w:rPr>
        <w:t xml:space="preserve"> (вредные условия труда 2 степени) - условия труда, при которых на работника воздействуют вредные и (или) опасные производственные факторы, уровни воздействия которых способны вызвать стойкие функциональные изменения в организме работника, приводящие к появлению и развитию начальных форм профессиональных заболеваний или профессиональных заболеваний легкой степени тяжести (без потери профессиональной трудоспособности), возникающих после продолжительной экспозиции (15 и более лет);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b/>
          <w:bCs/>
          <w:color w:val="000000"/>
          <w:sz w:val="22"/>
          <w:szCs w:val="22"/>
        </w:rPr>
        <w:t>подкласс 3.3</w:t>
      </w:r>
      <w:r>
        <w:rPr>
          <w:color w:val="000000"/>
          <w:sz w:val="22"/>
          <w:szCs w:val="22"/>
        </w:rPr>
        <w:t xml:space="preserve"> (вредные условия труда 3 степени) - условия труда, при которых на работника воздействуют вредные и (или) опасные производственные факторы, уровни воздействия которых способны вызвать стойкие функциональные изменения в организме работника, приводящие к появлению и развитию профессиональных заболеваний легкой и средней степени тяжести (с потерей профессиональной трудоспособности) в период трудовой деятельности;</w:t>
      </w:r>
    </w:p>
    <w:p w:rsidR="00E955B3" w:rsidRDefault="0038226F" w:rsidP="00E955B3">
      <w:pPr>
        <w:pStyle w:val="ad"/>
        <w:spacing w:before="240" w:beforeAutospacing="0" w:after="0" w:afterAutospacing="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b/>
          <w:bCs/>
          <w:color w:val="000000"/>
          <w:sz w:val="22"/>
          <w:szCs w:val="22"/>
        </w:rPr>
        <w:t>подкласс 3.4</w:t>
      </w:r>
      <w:r>
        <w:rPr>
          <w:color w:val="000000"/>
          <w:sz w:val="22"/>
          <w:szCs w:val="22"/>
        </w:rPr>
        <w:t xml:space="preserve"> (вредные условия труда 4 степени) - условия труда, при которых на работника воздействуют вредные и (или) опасные производственные факторы, уровни воздействия которых способны привести к появлению и развитию тяжелых форм профессиональных заболеваний (с потерей общей трудоспособности) в период трудовой деятельности.</w:t>
      </w:r>
      <w:r w:rsidR="00E955B3">
        <w:rPr>
          <w:color w:val="000000"/>
          <w:sz w:val="22"/>
          <w:szCs w:val="22"/>
        </w:rPr>
        <w:br/>
      </w:r>
    </w:p>
    <w:p w:rsidR="0038226F" w:rsidRPr="00E955B3" w:rsidRDefault="0038226F" w:rsidP="00E955B3">
      <w:pPr>
        <w:pStyle w:val="ad"/>
        <w:spacing w:before="240" w:beforeAutospacing="0" w:after="0" w:afterAutospacing="0"/>
        <w:ind w:hanging="36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Опасные</w:t>
      </w:r>
      <w:r>
        <w:rPr>
          <w:color w:val="000000"/>
          <w:sz w:val="22"/>
          <w:szCs w:val="22"/>
        </w:rPr>
        <w:t xml:space="preserve"> условия труда (4 класс) — условия труда, при которых на работника воздействуют вредные и (или) опасные производственные факторы. При этом уровни воздействия этих факторов в течение всего рабочего дня (смены) или его части способны создать угрозу жизни работника, а последствия воздействия данных факторов обусловливают высокий риск развития острого профессионального заболевания в период трудовой деятельности.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:rsidR="0038226F" w:rsidRPr="00E955B3" w:rsidRDefault="0038226F" w:rsidP="00E955B3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E955B3">
        <w:rPr>
          <w:b/>
          <w:bCs/>
          <w:color w:val="000000"/>
          <w:sz w:val="28"/>
          <w:szCs w:val="22"/>
        </w:rPr>
        <w:t>Условия для снижения класса вредности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В случае применения работниками, занятыми на рабочих местах с вредными условиями труда, эффективных средств индивидуальной защиты, прошедших обязательную сертификацию в порядке, установленном соответствующим техническим регламентом, </w:t>
      </w:r>
      <w:r>
        <w:rPr>
          <w:b/>
          <w:bCs/>
          <w:color w:val="000000"/>
          <w:sz w:val="22"/>
          <w:szCs w:val="22"/>
        </w:rPr>
        <w:t>класс (подкласс) условий труда может быть снижен</w:t>
      </w:r>
      <w:r>
        <w:rPr>
          <w:color w:val="000000"/>
          <w:sz w:val="22"/>
          <w:szCs w:val="22"/>
        </w:rPr>
        <w:t xml:space="preserve"> комиссией на основании заключения эксперта организации, проводящей СОУТ, на одну степень в соответствии с методикой, утвержденной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труда, по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согласованию с федеральным органом исполнительной власти, осуществляющим функции по организации и осуществлению федерального государственного санитарно- эпидемиологического надзора, и с учетом мнения Российской трехсторонней комиссии по регулированию социально-трудовых отношений.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Внимание!</w:t>
      </w:r>
      <w:r>
        <w:rPr>
          <w:color w:val="000000"/>
          <w:sz w:val="22"/>
          <w:szCs w:val="22"/>
        </w:rPr>
        <w:t xml:space="preserve"> От класса условий труда, установленного по итогам СОУТ, зависят: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гарантии и компенсации работникам;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досрочные пенсии работников;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размер дополнительного тарифа страховых взносов в ПФР;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lastRenderedPageBreak/>
        <w:t>величина скидки или надбавки к страховому тарифу на обязательное социальное страхование от несчастных случаев на производстве и профессиональных заболеваний.</w:t>
      </w:r>
    </w:p>
    <w:p w:rsidR="0038226F" w:rsidRPr="00E955B3" w:rsidRDefault="0038226F" w:rsidP="00E955B3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E955B3">
        <w:rPr>
          <w:b/>
          <w:bCs/>
          <w:color w:val="000000"/>
          <w:sz w:val="28"/>
          <w:szCs w:val="22"/>
        </w:rPr>
        <w:t>Содержание отчета о проведение специальной оценки условий труда 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да на конкретных рабочих местах;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протоколы проведения исследований (испытаний) и измерений идентифицированных вредных и (или) опасных производственных факторов;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протоколы оценки эффективности средств индивидуальной защиты;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протокол комиссии, содержащий решение о невозможности проведения исследований (испытаний) и измерений (при наличии такого решения);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сводную ведомость специальной оценки условий труда;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перечень мероприятий по улучшению условий и охраны труда работников, на рабочих местах которых проводилась специальная оценка условий труда;</w:t>
      </w:r>
    </w:p>
    <w:p w:rsidR="0038226F" w:rsidRDefault="0038226F" w:rsidP="0038226F">
      <w:pPr>
        <w:pStyle w:val="ad"/>
        <w:spacing w:before="240" w:beforeAutospacing="0" w:after="0" w:afterAutospacing="0"/>
        <w:ind w:hanging="360"/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12"/>
          <w:szCs w:val="12"/>
        </w:rPr>
        <w:t xml:space="preserve">         </w:t>
      </w:r>
      <w:r>
        <w:rPr>
          <w:color w:val="000000"/>
          <w:sz w:val="22"/>
          <w:szCs w:val="22"/>
        </w:rPr>
        <w:t>заключения эксперта организации, проводящей СОУТ.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Подписи – обязательный реквизит отчета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Отчет о проведении специальной оценки условий труда подписывается всеми членами комиссии и утверждается председателем комиссии.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Приложение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к отчету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Участник комиссии, который не согласен с результатами СОУТ, вправе изложить в письменной форме мотивированное особое мнение, которое прилагается к этому отчету. 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Форма отчета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 о проведении СОУТ и инструкция по ее заполнению утверждаются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труда.  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В отношении рабочих мест, на которых вредные и (или) опасные производственные факторы не идентифицированы, в отчете о проведении СОУТ указывают:</w:t>
      </w:r>
    </w:p>
    <w:p w:rsidR="0038226F" w:rsidRPr="0038226F" w:rsidRDefault="0038226F" w:rsidP="0038226F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сведения об организации, проводящей СОУТ;</w:t>
      </w:r>
    </w:p>
    <w:p w:rsidR="0038226F" w:rsidRPr="0038226F" w:rsidRDefault="0038226F" w:rsidP="0038226F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перечень рабочих мест, на которых проводилась специальная оценка условий труда, с указанием вредных и (или) опасных производственных факторов, которые идентифицированы на данных рабочих местах;</w:t>
      </w:r>
    </w:p>
    <w:p w:rsidR="0038226F" w:rsidRPr="0038226F" w:rsidRDefault="0038226F" w:rsidP="0038226F">
      <w:pPr>
        <w:spacing w:before="24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•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заключения эксперта организации, проводящей специальную оценку условий труда.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Работодатель организует ознакомление работников с результатами проведения СОУТ на их рабочих местах под подпись в срок </w:t>
      </w:r>
      <w:r w:rsidRPr="003822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не позднее чем 30 календарных дней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 со дня утверждения отчета о проведении СОУТ. В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указанный срок не включаются периоды временной нетрудоспособности работника, нахождения его в отпуске или командировке, периоды </w:t>
      </w:r>
      <w:proofErr w:type="spell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междувахтового</w:t>
      </w:r>
      <w:proofErr w:type="spell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 отдыха.</w:t>
      </w:r>
    </w:p>
    <w:p w:rsidR="0038226F" w:rsidRPr="00E955B3" w:rsidRDefault="0038226F" w:rsidP="00E955B3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E955B3">
        <w:rPr>
          <w:b/>
          <w:bCs/>
          <w:color w:val="000000"/>
          <w:sz w:val="28"/>
          <w:szCs w:val="22"/>
        </w:rPr>
        <w:lastRenderedPageBreak/>
        <w:t>Обязательность специальной оценки условий труда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Права и обязанности участников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  <w:r>
        <w:rPr>
          <w:color w:val="000000"/>
          <w:sz w:val="22"/>
          <w:szCs w:val="22"/>
        </w:rPr>
        <w:t xml:space="preserve"> прописаны в Законе 28.12.2013 № 426-ФЗ (ст. 4-6).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1. Работодатель.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Права: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Требовать от организации, проводящей </w:t>
      </w:r>
      <w:proofErr w:type="spellStart"/>
      <w:r>
        <w:rPr>
          <w:color w:val="000000"/>
          <w:sz w:val="22"/>
          <w:szCs w:val="22"/>
        </w:rPr>
        <w:t>спецоценку</w:t>
      </w:r>
      <w:proofErr w:type="spellEnd"/>
      <w:r>
        <w:rPr>
          <w:color w:val="000000"/>
          <w:sz w:val="22"/>
          <w:szCs w:val="22"/>
        </w:rPr>
        <w:t xml:space="preserve"> обоснования результатов ее проведения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Проводить внеплановую специальную оценку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Требовать от организации, проводящей </w:t>
      </w:r>
      <w:proofErr w:type="spellStart"/>
      <w:r>
        <w:rPr>
          <w:color w:val="000000"/>
          <w:sz w:val="22"/>
          <w:szCs w:val="22"/>
        </w:rPr>
        <w:t>спецоценку</w:t>
      </w:r>
      <w:proofErr w:type="spellEnd"/>
      <w:r>
        <w:rPr>
          <w:color w:val="000000"/>
          <w:sz w:val="22"/>
          <w:szCs w:val="22"/>
        </w:rPr>
        <w:t xml:space="preserve"> документы, подтверждающие ее право проводить </w:t>
      </w:r>
      <w:proofErr w:type="spellStart"/>
      <w:r>
        <w:rPr>
          <w:color w:val="000000"/>
          <w:sz w:val="22"/>
          <w:szCs w:val="22"/>
        </w:rPr>
        <w:t>спецоценку</w:t>
      </w:r>
      <w:proofErr w:type="spellEnd"/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Обжаловать действия или бездействие организации, проводящей </w:t>
      </w:r>
      <w:proofErr w:type="spellStart"/>
      <w:r>
        <w:rPr>
          <w:color w:val="000000"/>
          <w:sz w:val="22"/>
          <w:szCs w:val="22"/>
        </w:rPr>
        <w:t>спецоценку</w:t>
      </w:r>
      <w:proofErr w:type="spellEnd"/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Обязанности: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Обеспечить проведение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  <w:r>
        <w:rPr>
          <w:color w:val="000000"/>
          <w:sz w:val="22"/>
          <w:szCs w:val="22"/>
        </w:rPr>
        <w:t>, в том числе внеплановой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Предоставить организации, проводящей </w:t>
      </w:r>
      <w:proofErr w:type="spellStart"/>
      <w:r>
        <w:rPr>
          <w:color w:val="000000"/>
          <w:sz w:val="22"/>
          <w:szCs w:val="22"/>
        </w:rPr>
        <w:t>спецоценку</w:t>
      </w:r>
      <w:proofErr w:type="spellEnd"/>
      <w:r>
        <w:rPr>
          <w:color w:val="000000"/>
          <w:sz w:val="22"/>
          <w:szCs w:val="22"/>
        </w:rPr>
        <w:t xml:space="preserve">, необходимые документы и информацию, которые характеризуют условия труда, а также разъяснения по вопросам проведения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Не предпринимать действий, направленных на сужение круга вопросов, влияющих на результаты проведения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Знакомить в письменной форме работника с результатами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Разъяснять работникам вопросы проведения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  <w:r>
        <w:rPr>
          <w:color w:val="000000"/>
          <w:sz w:val="22"/>
          <w:szCs w:val="22"/>
        </w:rPr>
        <w:t xml:space="preserve"> на их рабочих местах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Реализовывать мероприятия по улучшению условий труда работников, с учетом результатов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  <w:r>
        <w:rPr>
          <w:color w:val="000000"/>
          <w:sz w:val="22"/>
          <w:szCs w:val="22"/>
        </w:rPr>
        <w:t>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 xml:space="preserve">2. Организация, проводящая </w:t>
      </w:r>
      <w:proofErr w:type="spellStart"/>
      <w:r>
        <w:rPr>
          <w:b/>
          <w:bCs/>
          <w:color w:val="000000"/>
          <w:sz w:val="22"/>
          <w:szCs w:val="22"/>
        </w:rPr>
        <w:t>спецоценку</w:t>
      </w:r>
      <w:proofErr w:type="spellEnd"/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Права: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Отказаться от проведения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  <w:r>
        <w:rPr>
          <w:color w:val="000000"/>
          <w:sz w:val="22"/>
          <w:szCs w:val="22"/>
        </w:rPr>
        <w:t>, если ее проведение может угрожать жизни или здоровью работников такой организации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Обжаловать предписания должностных лиц органов власти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Обязанности: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Предоставлять по требованию работодателя документы, подтверждающие право проводить </w:t>
      </w:r>
      <w:proofErr w:type="spellStart"/>
      <w:r>
        <w:rPr>
          <w:color w:val="000000"/>
          <w:sz w:val="22"/>
          <w:szCs w:val="22"/>
        </w:rPr>
        <w:t>спецоценку</w:t>
      </w:r>
      <w:proofErr w:type="spellEnd"/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Применять разрешенные методы исследований и методики измерений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Использовать </w:t>
      </w:r>
      <w:proofErr w:type="gramStart"/>
      <w:r>
        <w:rPr>
          <w:color w:val="000000"/>
          <w:sz w:val="22"/>
          <w:szCs w:val="22"/>
        </w:rPr>
        <w:t>средства измерений</w:t>
      </w:r>
      <w:proofErr w:type="gramEnd"/>
      <w:r>
        <w:rPr>
          <w:color w:val="000000"/>
          <w:sz w:val="22"/>
          <w:szCs w:val="22"/>
        </w:rPr>
        <w:t xml:space="preserve"> прошедшие поверку</w:t>
      </w:r>
    </w:p>
    <w:p w:rsidR="0038226F" w:rsidRDefault="0038226F" w:rsidP="0038226F">
      <w:pPr>
        <w:pStyle w:val="ad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Разъяснять работникам вопросы проведения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  <w:r>
        <w:rPr>
          <w:color w:val="000000"/>
          <w:sz w:val="22"/>
          <w:szCs w:val="22"/>
        </w:rPr>
        <w:t xml:space="preserve"> на их рабочих местах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Не приступать к </w:t>
      </w:r>
      <w:proofErr w:type="spellStart"/>
      <w:r>
        <w:rPr>
          <w:color w:val="000000"/>
          <w:sz w:val="22"/>
          <w:szCs w:val="22"/>
        </w:rPr>
        <w:t>спецоценке</w:t>
      </w:r>
      <w:proofErr w:type="spellEnd"/>
      <w:r>
        <w:rPr>
          <w:color w:val="000000"/>
          <w:sz w:val="22"/>
          <w:szCs w:val="22"/>
        </w:rPr>
        <w:t xml:space="preserve"> либо приостанавливать ее в случаях, если работодатель не представил документы и информацию, необходимых для исследования условий труда или отказался обеспечить условия для проведения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>Хранить коммерческую тайну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3. Работник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Права: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Присутствовать при проведении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  <w:r>
        <w:rPr>
          <w:color w:val="000000"/>
          <w:sz w:val="22"/>
          <w:szCs w:val="22"/>
        </w:rPr>
        <w:t xml:space="preserve"> на его рабочем месте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lastRenderedPageBreak/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Обращаться к работодателю, его представителю, организации, проводящей </w:t>
      </w:r>
      <w:proofErr w:type="spellStart"/>
      <w:r>
        <w:rPr>
          <w:color w:val="000000"/>
          <w:sz w:val="22"/>
          <w:szCs w:val="22"/>
        </w:rPr>
        <w:t>спецоценку</w:t>
      </w:r>
      <w:proofErr w:type="spellEnd"/>
      <w:r>
        <w:rPr>
          <w:color w:val="000000"/>
          <w:sz w:val="22"/>
          <w:szCs w:val="22"/>
        </w:rPr>
        <w:t xml:space="preserve"> или к ее эксперту за разъяснением вопросов проведения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Обжаловать результаты проведения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  <w:r>
        <w:rPr>
          <w:color w:val="000000"/>
          <w:sz w:val="22"/>
          <w:szCs w:val="22"/>
        </w:rPr>
        <w:t>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Обязанности:</w:t>
      </w:r>
    </w:p>
    <w:p w:rsidR="0038226F" w:rsidRDefault="0038226F" w:rsidP="0038226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●</w:t>
      </w:r>
      <w:r>
        <w:rPr>
          <w:color w:val="000000"/>
          <w:sz w:val="12"/>
          <w:szCs w:val="12"/>
        </w:rPr>
        <w:t xml:space="preserve">                   </w:t>
      </w:r>
      <w:r>
        <w:rPr>
          <w:color w:val="000000"/>
          <w:sz w:val="22"/>
          <w:szCs w:val="22"/>
        </w:rPr>
        <w:t xml:space="preserve">Ознакомиться с результатами </w:t>
      </w:r>
      <w:proofErr w:type="spellStart"/>
      <w:r>
        <w:rPr>
          <w:color w:val="000000"/>
          <w:sz w:val="22"/>
          <w:szCs w:val="22"/>
        </w:rPr>
        <w:t>спецоценки</w:t>
      </w:r>
      <w:proofErr w:type="spellEnd"/>
      <w:r>
        <w:rPr>
          <w:color w:val="000000"/>
          <w:sz w:val="22"/>
          <w:szCs w:val="22"/>
        </w:rPr>
        <w:t xml:space="preserve"> своего рабочего места</w:t>
      </w:r>
    </w:p>
    <w:p w:rsidR="0038226F" w:rsidRPr="00E955B3" w:rsidRDefault="0038226F" w:rsidP="00E955B3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E955B3">
        <w:rPr>
          <w:b/>
          <w:bCs/>
          <w:color w:val="000000"/>
          <w:sz w:val="28"/>
          <w:szCs w:val="22"/>
        </w:rPr>
        <w:t>Порядок проведения СОУТ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Специальную оценку условий труда проводит экспертная организация</w:t>
      </w:r>
      <w:r>
        <w:rPr>
          <w:color w:val="000000"/>
          <w:sz w:val="22"/>
          <w:szCs w:val="22"/>
        </w:rPr>
        <w:t>, но специалист по охране труда занимается всеми организационными вопросами по процедуре. Поэтому нужно знать порядок действий по организации СОУТ.</w:t>
      </w:r>
      <w:r>
        <w:rPr>
          <w:color w:val="000000"/>
          <w:sz w:val="22"/>
          <w:szCs w:val="22"/>
          <w:shd w:val="clear" w:color="auto" w:fill="00FFFF"/>
        </w:rPr>
        <w:t> 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> 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Утвердите состав комиссии по проведению СОУТ и график ее проведения.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Комиссия работодателя по СОУТ состоит из нечетного числа участников. Включает представителей работодателя, в том числе специалиста по охране труда, представителей выборного органа первичной профсоюзной организации или иного представительного органа работников (если есть). Порядок деятельности комиссии и ее состав утверждает работодатель.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2.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         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Составьте список рабочих мест для оценки. При расчете нужно учитывать аналогичность рабочих мест. Соответствующие признаки перечислены в части 6 статьи 9 Закона «О специальной оценке условий труда» от 28.12.2013 № 426-ФЗ). Сотрудники на аналогичных рабочих местах должны: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        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ab/>
        <w:t>- трудиться по одной и той же профессии, должности, специальности;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        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ab/>
        <w:t>- выполнять одинаковые трудовые функции;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        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ab/>
        <w:t>- работать в одинаковом режиме рабочего времени;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        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ab/>
        <w:t>- находиться в идентичных рабочих зонах;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        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ab/>
        <w:t>- использовать однотипные технологические процессы, системы вентиляции, отопления, освещения, одинаковые инструменты, оборудование, СИЗ и т. п.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Если все признаки аналогичности совпали, можно оценить 20% рабочих мест.  Для этого используют формулу: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Количество аналогичных рабочих мест × 0,2 = Количество рабочих мест, на которых требуется оценить условия труда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3.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         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Выберите аккредитованную организацию и заключите с ней договор.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Реестр организаций, проводящих </w:t>
      </w:r>
      <w:proofErr w:type="spell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спецоценку</w:t>
      </w:r>
      <w:proofErr w:type="spell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 размещен на сайте Минтруда:</w:t>
      </w:r>
      <w:hyperlink r:id="rId8" w:history="1">
        <w:r w:rsidRPr="0038226F">
          <w:rPr>
            <w:rFonts w:ascii="Times New Roman" w:eastAsia="Times New Roman" w:hAnsi="Times New Roman" w:cs="Times New Roman"/>
            <w:color w:val="000000"/>
            <w:lang w:eastAsia="ru-RU"/>
          </w:rPr>
          <w:t xml:space="preserve"> </w:t>
        </w:r>
        <w:r w:rsidRPr="0038226F">
          <w:rPr>
            <w:rFonts w:ascii="Times New Roman" w:eastAsia="Times New Roman" w:hAnsi="Times New Roman" w:cs="Times New Roman"/>
            <w:color w:val="0563C1"/>
            <w:u w:val="single"/>
            <w:lang w:eastAsia="ru-RU"/>
          </w:rPr>
          <w:t>https://akot.rosmintrud.ru/sout/organizations</w:t>
        </w:r>
      </w:hyperlink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4.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         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Подпишите отчет по результатам </w:t>
      </w:r>
      <w:proofErr w:type="spell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спецоценки</w:t>
      </w:r>
      <w:proofErr w:type="spell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эксперт закончит свою часть работы и передаст работодателю карты СУОТ на согласование, важно обратить внимание на полноту информации отчете. Так, в строке 030 классы и подклассы условий труда должны быть проставлены по каждому отдельному фактору. В строке 040 описаны гарантии и компенсации, которые работники получали на момент проведения </w:t>
      </w:r>
      <w:proofErr w:type="spell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спецоценки</w:t>
      </w:r>
      <w:proofErr w:type="spell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. Строка должна содержать обоснование со ссылкой на конкретный пункт статьи НПА.</w:t>
      </w:r>
    </w:p>
    <w:p w:rsidR="0038226F" w:rsidRPr="0038226F" w:rsidRDefault="0038226F" w:rsidP="003822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5.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         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Разместите результаты </w:t>
      </w:r>
      <w:proofErr w:type="spell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спецоценки</w:t>
      </w:r>
      <w:proofErr w:type="spell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 на сайте организации.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Это нужно сделать в течение 30 дней с момента завершения </w:t>
      </w:r>
      <w:proofErr w:type="spell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спецоценки</w:t>
      </w:r>
      <w:proofErr w:type="spell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6.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         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Сообщите в ФСС о результатах процедуры СОУТ.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(Такое требование указано в приказе ФСС России от 26 сентября 2016 г. № 381). Сведения о проведении </w:t>
      </w:r>
      <w:proofErr w:type="spell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спецоценки</w:t>
      </w:r>
      <w:proofErr w:type="spell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 заносят в таблицу 5 формы 4-ФСС.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7.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         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Ознакомьте работников с результатами </w:t>
      </w:r>
      <w:proofErr w:type="spell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спецоценки</w:t>
      </w:r>
      <w:proofErr w:type="spell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Ознакомить работников с отчетом о </w:t>
      </w:r>
      <w:proofErr w:type="spell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спецоценке</w:t>
      </w:r>
      <w:proofErr w:type="spell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 под подпись в течение 30 дней с момента ее завершения. Далее нужно дополнить трудовые договоры условиями труда на рабочем месте (ст. 57 ТК РФ). Назначить или отменить </w:t>
      </w:r>
      <w:proofErr w:type="gram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гарантии</w:t>
      </w:r>
      <w:proofErr w:type="gram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компенсации в зависимости от установленного класса условий труда.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8.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         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Подайте в территориальное отделение государственной инспекции труда декларации соответствия условий труда государственным нормативным требованиям охраны труда.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подать декларацию соответствия условий труда государственным нормативным требованиям охраны труда, то это позволит не тратиться на </w:t>
      </w:r>
      <w:proofErr w:type="spell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спецоценку</w:t>
      </w:r>
      <w:proofErr w:type="spell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 соответствующих рабочих мест. При соблюдении ряда условий подача декларации позволит не проводить очередную </w:t>
      </w:r>
      <w:proofErr w:type="spellStart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спецоценку</w:t>
      </w:r>
      <w:proofErr w:type="spellEnd"/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 xml:space="preserve"> в отношении рабочих мест, на которых: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        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ab/>
        <w:t>- вредные или опасные производственные факторы по результатам осуществления идентификации не выявлены;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        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ab/>
        <w:t>- установлены оптимальные (класс 1.0) условия труда;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        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ab/>
        <w:t>- установлены допустимые (класс 2.0) условия труда.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 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9.</w:t>
      </w:r>
      <w:r w:rsidRPr="0038226F"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  <w:t xml:space="preserve">                  </w:t>
      </w: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Проведите мероприятия по улучшению условий труда.</w:t>
      </w:r>
    </w:p>
    <w:p w:rsidR="0038226F" w:rsidRPr="0038226F" w:rsidRDefault="0038226F" w:rsidP="0038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Они будут указаны в разделе VI отчета о СОУТ.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Виды контроля за соблюдением ФЗ о СОУТ</w:t>
      </w:r>
      <w:r w:rsidRPr="0038226F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Государственный контроль </w:t>
      </w:r>
      <w:r>
        <w:rPr>
          <w:color w:val="000000"/>
          <w:sz w:val="22"/>
          <w:szCs w:val="22"/>
        </w:rPr>
        <w:t>(надзор) за соблюдением требований ФЗ о СОУТ осуществляется федеральным органом исполнительной власти, уполномоченным на проведение федерального государственного надзора за соблюдением трудового законодательства и иных нормативных правовых актов, содержащих нормы трудового права, и его территориальными органами в соответствии с Трудовым кодексом РФ, другими федеральными законами и иными нормативными правовыми актами РФ. 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 xml:space="preserve">Профсоюзный контроль </w:t>
      </w:r>
      <w:r>
        <w:rPr>
          <w:color w:val="000000"/>
          <w:sz w:val="22"/>
          <w:szCs w:val="22"/>
        </w:rPr>
        <w:t>за соблюдением требований ФЗ о СОУТ осуществляется инспекциями труда соответствующих профессиональных союзов в порядке, установленном трудовым законодательством и законодательством РФ о профессиональных союзах, их правах и гарантиях деятельности.</w:t>
      </w:r>
    </w:p>
    <w:p w:rsidR="0038226F" w:rsidRPr="00E955B3" w:rsidRDefault="0038226F" w:rsidP="00E955B3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E955B3">
        <w:rPr>
          <w:b/>
          <w:bCs/>
          <w:color w:val="000000"/>
          <w:sz w:val="28"/>
          <w:szCs w:val="22"/>
        </w:rPr>
        <w:t>Кейс. Ошибки при определении вредных факторов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color w:val="000000"/>
          <w:sz w:val="22"/>
          <w:szCs w:val="22"/>
        </w:rPr>
        <w:t>В организации «Колос» комиссия работодателя во время специальной оценки условий труда на свое усмотрение и со слов сотрудника заявила все возможные производственные факторы, которые нужно идентифицировать эксперту. Эксперт идентифицировал производственные факторы, которые находятся вне рабочей зоны сотрудника, и признал условия труда вредными. В итоге работодатель понес существенное увеличение затрат. Он стал доплачивать сотруднику за вредность, установил ему сокращенный рабочий день, предоставил дополнительный отпуск, определил тариф дополнительного взноса в Пенсионный фонд России.</w:t>
      </w:r>
    </w:p>
    <w:p w:rsidR="0038226F" w:rsidRDefault="0038226F" w:rsidP="0038226F">
      <w:pPr>
        <w:pStyle w:val="ad"/>
        <w:spacing w:before="240" w:beforeAutospacing="0" w:after="240" w:afterAutospacing="0"/>
      </w:pPr>
      <w:r>
        <w:rPr>
          <w:b/>
          <w:bCs/>
          <w:color w:val="000000"/>
          <w:sz w:val="22"/>
          <w:szCs w:val="22"/>
        </w:rPr>
        <w:t>Как правильно</w:t>
      </w:r>
      <w:r>
        <w:rPr>
          <w:color w:val="000000"/>
          <w:sz w:val="22"/>
          <w:szCs w:val="22"/>
        </w:rPr>
        <w:t xml:space="preserve">: Специальная оценка условий труда проводится только на тех рабочих местах, которые указываются в трудовом договоре сотрудника. Рабочее место – место, где работник должен находиться или куда ему необходимо прибыть в связи с его работой (ч. 6 ст. 209 ТК РФ). </w:t>
      </w:r>
      <w:r>
        <w:rPr>
          <w:b/>
          <w:bCs/>
          <w:color w:val="000000"/>
          <w:sz w:val="22"/>
          <w:szCs w:val="22"/>
        </w:rPr>
        <w:t> </w:t>
      </w:r>
    </w:p>
    <w:p w:rsidR="0038226F" w:rsidRPr="00E955B3" w:rsidRDefault="0038226F" w:rsidP="00E955B3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E955B3">
        <w:rPr>
          <w:b/>
          <w:bCs/>
          <w:color w:val="000000"/>
          <w:sz w:val="28"/>
          <w:szCs w:val="22"/>
        </w:rPr>
        <w:lastRenderedPageBreak/>
        <w:t>Размер дополнительных взносов в Пенсионный фонд России в зависимости от класса условий труда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000000"/>
          <w:lang w:eastAsia="ru-RU"/>
        </w:rPr>
        <w:t>Чем ниже подкласс условий труда, тем меньше размер дополнительных тарифов страховых взносов в Пенсионный фонд России (ч. 3 ст. 428 Налогового кодекса РФ).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412"/>
        <w:gridCol w:w="4548"/>
      </w:tblGrid>
      <w:tr w:rsidR="0038226F" w:rsidRPr="0038226F" w:rsidTr="0038226F">
        <w:trPr>
          <w:trHeight w:val="8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Класс условий труда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Подкласс условий труда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Дополнительный тариф страхового взноса, в %</w:t>
            </w:r>
          </w:p>
        </w:tc>
      </w:tr>
      <w:tr w:rsidR="0038226F" w:rsidRPr="0038226F" w:rsidTr="0038226F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Опасный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38226F" w:rsidRPr="0038226F" w:rsidTr="0038226F">
        <w:trPr>
          <w:trHeight w:val="25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Вредный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38226F" w:rsidRPr="0038226F" w:rsidTr="0038226F">
        <w:trPr>
          <w:trHeight w:val="2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226F" w:rsidRPr="0038226F" w:rsidRDefault="0038226F" w:rsidP="00382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38226F" w:rsidRPr="0038226F" w:rsidTr="0038226F">
        <w:trPr>
          <w:trHeight w:val="2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226F" w:rsidRPr="0038226F" w:rsidRDefault="0038226F" w:rsidP="00382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38226F" w:rsidRPr="0038226F" w:rsidTr="0038226F">
        <w:trPr>
          <w:trHeight w:val="2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226F" w:rsidRPr="0038226F" w:rsidRDefault="0038226F" w:rsidP="00382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38226F" w:rsidRPr="0038226F" w:rsidTr="0038226F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38226F" w:rsidRPr="0038226F" w:rsidTr="0038226F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Оптимальный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26F" w:rsidRPr="0038226F" w:rsidRDefault="0038226F" w:rsidP="003822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2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26F">
        <w:rPr>
          <w:rFonts w:ascii="Times New Roman" w:eastAsia="Times New Roman" w:hAnsi="Times New Roman" w:cs="Times New Roman"/>
          <w:color w:val="222222"/>
          <w:lang w:eastAsia="ru-RU"/>
        </w:rPr>
        <w:t>Подклассы условий труда можно снижать сотрудникам, занятым на работах с вредными условиями в случае использования ими эффективных СИЗ. Насколько эффективны СИЗ и можно ли снизить подкласс условий труда – решают эксперты во время специальной оценки условий труда.</w:t>
      </w:r>
    </w:p>
    <w:p w:rsidR="0038226F" w:rsidRPr="0038226F" w:rsidRDefault="0038226F" w:rsidP="003822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8226F">
        <w:rPr>
          <w:rFonts w:ascii="Times New Roman" w:eastAsia="Times New Roman" w:hAnsi="Times New Roman" w:cs="Times New Roman"/>
          <w:color w:val="222222"/>
          <w:lang w:eastAsia="ru-RU"/>
        </w:rPr>
        <w:t>Спецоценка</w:t>
      </w:r>
      <w:proofErr w:type="spellEnd"/>
      <w:r w:rsidRPr="0038226F">
        <w:rPr>
          <w:rFonts w:ascii="Times New Roman" w:eastAsia="Times New Roman" w:hAnsi="Times New Roman" w:cs="Times New Roman"/>
          <w:color w:val="222222"/>
          <w:lang w:eastAsia="ru-RU"/>
        </w:rPr>
        <w:t xml:space="preserve"> – затратное мероприятие для работодателя, поэтому, если качественно организовать процесс, специалист по охране труда повысит свою ценность в глазах руководства.</w:t>
      </w:r>
    </w:p>
    <w:p w:rsidR="0038226F" w:rsidRPr="00E955B3" w:rsidRDefault="0038226F" w:rsidP="00E955B3">
      <w:pPr>
        <w:pStyle w:val="ad"/>
        <w:spacing w:before="24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E955B3">
        <w:rPr>
          <w:b/>
          <w:bCs/>
          <w:color w:val="000000"/>
          <w:sz w:val="28"/>
          <w:szCs w:val="22"/>
        </w:rPr>
        <w:t>Как снизить подкласс условий труда</w:t>
      </w:r>
    </w:p>
    <w:p w:rsidR="0038226F" w:rsidRPr="0038226F" w:rsidRDefault="0038226F" w:rsidP="00E955B3">
      <w:pPr>
        <w:pStyle w:val="ad"/>
        <w:spacing w:before="240" w:beforeAutospacing="0" w:after="240" w:afterAutospacing="0"/>
        <w:rPr>
          <w:bCs/>
          <w:color w:val="000000"/>
          <w:szCs w:val="22"/>
        </w:rPr>
      </w:pPr>
      <w:r>
        <w:rPr>
          <w:color w:val="222222"/>
          <w:sz w:val="22"/>
          <w:szCs w:val="22"/>
        </w:rPr>
        <w:t xml:space="preserve">Для этого применяют Методику снижения класса (подкласса) условий труда при применении работниками, занятыми на рабочих местах с вредными условиями труда, эффективных средств индивидуальной защиты, прошедших обязательную сертификацию в порядке, установленном соответствующим техническим регламентом, утв. приказом Минтруда России от 5 декабря 2014 г. № 976н. </w:t>
      </w:r>
      <w:r>
        <w:rPr>
          <w:color w:val="000000"/>
          <w:sz w:val="26"/>
          <w:szCs w:val="26"/>
        </w:rPr>
        <w:t> </w:t>
      </w:r>
    </w:p>
    <w:sectPr w:rsidR="0038226F" w:rsidRPr="0038226F" w:rsidSect="006A4E5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6C9" w:rsidRDefault="00BF56C9" w:rsidP="006A4E5D">
      <w:pPr>
        <w:spacing w:after="0" w:line="240" w:lineRule="auto"/>
      </w:pPr>
      <w:r>
        <w:separator/>
      </w:r>
    </w:p>
  </w:endnote>
  <w:endnote w:type="continuationSeparator" w:id="0">
    <w:p w:rsidR="00BF56C9" w:rsidRDefault="00BF56C9" w:rsidP="006A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6C9" w:rsidRDefault="00BF56C9" w:rsidP="006A4E5D">
      <w:pPr>
        <w:spacing w:after="0" w:line="240" w:lineRule="auto"/>
      </w:pPr>
      <w:r>
        <w:separator/>
      </w:r>
    </w:p>
  </w:footnote>
  <w:footnote w:type="continuationSeparator" w:id="0">
    <w:p w:rsidR="00BF56C9" w:rsidRDefault="00BF56C9" w:rsidP="006A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B8806E0"/>
    <w:lvl w:ilvl="0">
      <w:numFmt w:val="bullet"/>
      <w:lvlText w:val="*"/>
      <w:lvlJc w:val="left"/>
    </w:lvl>
  </w:abstractNum>
  <w:abstractNum w:abstractNumId="1" w15:restartNumberingAfterBreak="0">
    <w:nsid w:val="03160E24"/>
    <w:multiLevelType w:val="multilevel"/>
    <w:tmpl w:val="7C1A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F4B19"/>
    <w:multiLevelType w:val="multilevel"/>
    <w:tmpl w:val="7F40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261E7"/>
    <w:multiLevelType w:val="multilevel"/>
    <w:tmpl w:val="725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4684"/>
    <w:multiLevelType w:val="multilevel"/>
    <w:tmpl w:val="005E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C0C8B"/>
    <w:multiLevelType w:val="multilevel"/>
    <w:tmpl w:val="C3EE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E5012"/>
    <w:multiLevelType w:val="multilevel"/>
    <w:tmpl w:val="32D0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92D33"/>
    <w:multiLevelType w:val="multilevel"/>
    <w:tmpl w:val="666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2000D"/>
    <w:multiLevelType w:val="multilevel"/>
    <w:tmpl w:val="53C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87FF9"/>
    <w:multiLevelType w:val="multilevel"/>
    <w:tmpl w:val="955A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1001C"/>
    <w:multiLevelType w:val="multilevel"/>
    <w:tmpl w:val="A69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14205"/>
    <w:multiLevelType w:val="multilevel"/>
    <w:tmpl w:val="F55E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31837"/>
    <w:multiLevelType w:val="multilevel"/>
    <w:tmpl w:val="6878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87A16"/>
    <w:multiLevelType w:val="multilevel"/>
    <w:tmpl w:val="EAB8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53EC2"/>
    <w:multiLevelType w:val="multilevel"/>
    <w:tmpl w:val="CFE0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72DB4"/>
    <w:multiLevelType w:val="hybridMultilevel"/>
    <w:tmpl w:val="1D1E85F8"/>
    <w:lvl w:ilvl="0" w:tplc="307EB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C6F03"/>
    <w:multiLevelType w:val="multilevel"/>
    <w:tmpl w:val="4FE0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A2C6A"/>
    <w:multiLevelType w:val="multilevel"/>
    <w:tmpl w:val="2FE6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F439C"/>
    <w:multiLevelType w:val="multilevel"/>
    <w:tmpl w:val="0A5A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672E1"/>
    <w:multiLevelType w:val="multilevel"/>
    <w:tmpl w:val="EC5E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E2AEB"/>
    <w:multiLevelType w:val="hybridMultilevel"/>
    <w:tmpl w:val="C114D8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6C04F1"/>
    <w:multiLevelType w:val="multilevel"/>
    <w:tmpl w:val="76B8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A0214"/>
    <w:multiLevelType w:val="multilevel"/>
    <w:tmpl w:val="E15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125E6"/>
    <w:multiLevelType w:val="multilevel"/>
    <w:tmpl w:val="5902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3565A"/>
    <w:multiLevelType w:val="hybridMultilevel"/>
    <w:tmpl w:val="236A1676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4F8C6167"/>
    <w:multiLevelType w:val="multilevel"/>
    <w:tmpl w:val="070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9707D7"/>
    <w:multiLevelType w:val="multilevel"/>
    <w:tmpl w:val="0532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9F750D"/>
    <w:multiLevelType w:val="multilevel"/>
    <w:tmpl w:val="6C8E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C525DF"/>
    <w:multiLevelType w:val="multilevel"/>
    <w:tmpl w:val="2ADC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1022D"/>
    <w:multiLevelType w:val="multilevel"/>
    <w:tmpl w:val="2D7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F279E"/>
    <w:multiLevelType w:val="multilevel"/>
    <w:tmpl w:val="0A3C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AC7C34"/>
    <w:multiLevelType w:val="multilevel"/>
    <w:tmpl w:val="7174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051BD2"/>
    <w:multiLevelType w:val="multilevel"/>
    <w:tmpl w:val="1C6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47422"/>
    <w:multiLevelType w:val="multilevel"/>
    <w:tmpl w:val="184E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0"/>
    <w:lvlOverride w:ilvl="0">
      <w:lvl w:ilvl="0">
        <w:numFmt w:val="bullet"/>
        <w:lvlText w:val=""/>
        <w:legacy w:legacy="1" w:legacySpace="0" w:legacyIndent="140"/>
        <w:lvlJc w:val="left"/>
        <w:rPr>
          <w:rFonts w:ascii="Symbol" w:hAnsi="Symbol" w:hint="default"/>
        </w:rPr>
      </w:lvl>
    </w:lvlOverride>
  </w:num>
  <w:num w:numId="4">
    <w:abstractNumId w:val="15"/>
  </w:num>
  <w:num w:numId="5">
    <w:abstractNumId w:val="2"/>
  </w:num>
  <w:num w:numId="6">
    <w:abstractNumId w:val="8"/>
  </w:num>
  <w:num w:numId="7">
    <w:abstractNumId w:val="7"/>
  </w:num>
  <w:num w:numId="8">
    <w:abstractNumId w:val="29"/>
  </w:num>
  <w:num w:numId="9">
    <w:abstractNumId w:val="16"/>
  </w:num>
  <w:num w:numId="10">
    <w:abstractNumId w:val="4"/>
  </w:num>
  <w:num w:numId="11">
    <w:abstractNumId w:val="6"/>
  </w:num>
  <w:num w:numId="12">
    <w:abstractNumId w:val="22"/>
  </w:num>
  <w:num w:numId="13">
    <w:abstractNumId w:val="14"/>
  </w:num>
  <w:num w:numId="14">
    <w:abstractNumId w:val="19"/>
  </w:num>
  <w:num w:numId="15">
    <w:abstractNumId w:val="27"/>
  </w:num>
  <w:num w:numId="16">
    <w:abstractNumId w:val="31"/>
  </w:num>
  <w:num w:numId="17">
    <w:abstractNumId w:val="17"/>
  </w:num>
  <w:num w:numId="18">
    <w:abstractNumId w:val="33"/>
  </w:num>
  <w:num w:numId="19">
    <w:abstractNumId w:val="28"/>
  </w:num>
  <w:num w:numId="20">
    <w:abstractNumId w:val="3"/>
  </w:num>
  <w:num w:numId="21">
    <w:abstractNumId w:val="25"/>
  </w:num>
  <w:num w:numId="22">
    <w:abstractNumId w:val="32"/>
  </w:num>
  <w:num w:numId="23">
    <w:abstractNumId w:val="12"/>
  </w:num>
  <w:num w:numId="24">
    <w:abstractNumId w:val="30"/>
  </w:num>
  <w:num w:numId="25">
    <w:abstractNumId w:val="18"/>
  </w:num>
  <w:num w:numId="26">
    <w:abstractNumId w:val="23"/>
  </w:num>
  <w:num w:numId="27">
    <w:abstractNumId w:val="11"/>
  </w:num>
  <w:num w:numId="28">
    <w:abstractNumId w:val="1"/>
  </w:num>
  <w:num w:numId="29">
    <w:abstractNumId w:val="21"/>
  </w:num>
  <w:num w:numId="30">
    <w:abstractNumId w:val="13"/>
  </w:num>
  <w:num w:numId="31">
    <w:abstractNumId w:val="5"/>
  </w:num>
  <w:num w:numId="32">
    <w:abstractNumId w:val="10"/>
  </w:num>
  <w:num w:numId="33">
    <w:abstractNumId w:val="2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E5D"/>
    <w:rsid w:val="00053C6A"/>
    <w:rsid w:val="000A615F"/>
    <w:rsid w:val="000B690A"/>
    <w:rsid w:val="00254231"/>
    <w:rsid w:val="002B70FC"/>
    <w:rsid w:val="00363EFC"/>
    <w:rsid w:val="0038226F"/>
    <w:rsid w:val="00436E41"/>
    <w:rsid w:val="0045741E"/>
    <w:rsid w:val="00501991"/>
    <w:rsid w:val="00614F5F"/>
    <w:rsid w:val="006759A0"/>
    <w:rsid w:val="00684DCE"/>
    <w:rsid w:val="006A4E5D"/>
    <w:rsid w:val="007045D2"/>
    <w:rsid w:val="007A7CBB"/>
    <w:rsid w:val="007E6A17"/>
    <w:rsid w:val="00A62823"/>
    <w:rsid w:val="00BF56C9"/>
    <w:rsid w:val="00C45CD8"/>
    <w:rsid w:val="00D22D61"/>
    <w:rsid w:val="00D44CAB"/>
    <w:rsid w:val="00D4561E"/>
    <w:rsid w:val="00DC69AF"/>
    <w:rsid w:val="00E33AC8"/>
    <w:rsid w:val="00E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5B55C-3EAC-412D-8851-6C27F4AD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6A4E5D"/>
    <w:pPr>
      <w:spacing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6A4E5D"/>
    <w:rPr>
      <w:rFonts w:ascii="Calibri" w:eastAsia="Calibri" w:hAnsi="Calibri" w:cs="Calibri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6A4E5D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6A4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4E5D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6A4E5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A4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4E5D"/>
  </w:style>
  <w:style w:type="paragraph" w:styleId="ab">
    <w:name w:val="footer"/>
    <w:basedOn w:val="a"/>
    <w:link w:val="ac"/>
    <w:uiPriority w:val="99"/>
    <w:unhideWhenUsed/>
    <w:rsid w:val="006A4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4E5D"/>
  </w:style>
  <w:style w:type="paragraph" w:styleId="ad">
    <w:name w:val="Normal (Web)"/>
    <w:basedOn w:val="a"/>
    <w:uiPriority w:val="99"/>
    <w:unhideWhenUsed/>
    <w:rsid w:val="007A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22D61"/>
  </w:style>
  <w:style w:type="character" w:styleId="ae">
    <w:name w:val="Hyperlink"/>
    <w:basedOn w:val="a0"/>
    <w:uiPriority w:val="99"/>
    <w:semiHidden/>
    <w:unhideWhenUsed/>
    <w:rsid w:val="00382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ot.rosmintrud.ru/sout/organiza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4206</Words>
  <Characters>23976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7</cp:revision>
  <dcterms:created xsi:type="dcterms:W3CDTF">2021-09-25T22:52:00Z</dcterms:created>
  <dcterms:modified xsi:type="dcterms:W3CDTF">2023-03-07T18:31:00Z</dcterms:modified>
</cp:coreProperties>
</file>