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A2" w:rsidRPr="00D227A2" w:rsidRDefault="00E11D2D" w:rsidP="00D227A2">
      <w:pPr>
        <w:pStyle w:val="Heading1"/>
        <w:rPr>
          <w:sz w:val="44"/>
          <w:szCs w:val="44"/>
        </w:rPr>
      </w:pPr>
      <w:r>
        <w:rPr>
          <w:sz w:val="44"/>
          <w:szCs w:val="44"/>
        </w:rPr>
        <w:t>Implementation Assignment #1</w:t>
      </w:r>
    </w:p>
    <w:p w:rsidR="005C3F8F" w:rsidRDefault="00D227A2" w:rsidP="004B5C93">
      <w:pPr>
        <w:pBdr>
          <w:bottom w:val="single" w:sz="6" w:space="0" w:color="auto"/>
        </w:pBdr>
        <w:rPr>
          <w:b/>
          <w:bCs/>
          <w:sz w:val="32"/>
          <w:szCs w:val="32"/>
        </w:rPr>
      </w:pPr>
      <w:r w:rsidRPr="00D227A2">
        <w:rPr>
          <w:b/>
          <w:bCs/>
          <w:sz w:val="32"/>
          <w:szCs w:val="32"/>
        </w:rPr>
        <w:t>Alireza Mostafizi</w:t>
      </w:r>
    </w:p>
    <w:p w:rsidR="00EB08A0" w:rsidRDefault="00EB08A0" w:rsidP="004B5C93">
      <w:pPr>
        <w:pBdr>
          <w:bottom w:val="single" w:sz="6" w:space="0" w:color="auto"/>
        </w:pBdr>
        <w:rPr>
          <w:b/>
          <w:bCs/>
          <w:sz w:val="32"/>
          <w:szCs w:val="32"/>
        </w:rPr>
      </w:pPr>
    </w:p>
    <w:p w:rsidR="00643452" w:rsidRDefault="00643452" w:rsidP="00643452">
      <w:pPr>
        <w:pStyle w:val="Heading2"/>
        <w:rPr>
          <w:b/>
          <w:bCs/>
          <w:i/>
          <w:iCs/>
        </w:rPr>
      </w:pPr>
    </w:p>
    <w:p w:rsidR="006F3E42" w:rsidRDefault="00643452" w:rsidP="00643452">
      <w:pPr>
        <w:pStyle w:val="Heading2"/>
        <w:rPr>
          <w:b/>
          <w:bCs/>
          <w:i/>
          <w:iCs/>
        </w:rPr>
      </w:pPr>
      <w:r>
        <w:rPr>
          <w:b/>
          <w:bCs/>
          <w:i/>
          <w:iCs/>
        </w:rPr>
        <w:t>Introduction</w:t>
      </w:r>
    </w:p>
    <w:p w:rsidR="009F0717" w:rsidRDefault="00E11D2D" w:rsidP="00940E9A">
      <w:pPr>
        <w:jc w:val="both"/>
      </w:pPr>
      <w:r>
        <w:t>I coded this assignment in MATLAB. Attached to this report, you can find four MATLAB codes. The assignment is to implement linear regression with quadratic regularization to avoid over-fitting with the following regularized sum of squared erro</w:t>
      </w:r>
      <w:r w:rsidR="00FC2AAC">
        <w:t>r objective function</w:t>
      </w:r>
      <w:r>
        <w:t>:</w:t>
      </w:r>
    </w:p>
    <w:p w:rsidR="00E11D2D" w:rsidRPr="00E11D2D" w:rsidRDefault="00E11D2D" w:rsidP="003B0010">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oMath>
      </m:oMathPara>
    </w:p>
    <w:p w:rsidR="00E11D2D" w:rsidRDefault="00E11D2D" w:rsidP="00940E9A">
      <w:pPr>
        <w:jc w:val="both"/>
        <w:rPr>
          <w:rFonts w:eastAsiaTheme="minorEastAsia"/>
        </w:rPr>
      </w:pPr>
      <w:r>
        <w:rPr>
          <w:rFonts w:eastAsiaTheme="minorEastAsia"/>
        </w:rPr>
        <w:t xml:space="preserve">The data provided includes one set of training data with 100 data points, and one testing data with the same size. Each data point specifies </w:t>
      </w:r>
      <w:r w:rsidR="004E5A86">
        <w:rPr>
          <w:rFonts w:eastAsiaTheme="minorEastAsia"/>
        </w:rPr>
        <w:t>45 features, plus a dummy constant of 1 column to match up with the matrix calculation</w:t>
      </w:r>
      <w:r w:rsidR="00FC2AAC">
        <w:rPr>
          <w:rFonts w:eastAsiaTheme="minorEastAsia"/>
        </w:rPr>
        <w:t xml:space="preserve"> with the weight vector</w:t>
      </w:r>
      <w:r w:rsidR="004E5A86">
        <w:rPr>
          <w:rFonts w:eastAsiaTheme="minorEastAsia"/>
        </w:rPr>
        <w:t xml:space="preserve">. Since some features have large values, it is beneficial to modify the data to a shorter range, either with normalization or linear modification of </w:t>
      </w:r>
      <w:r w:rsidR="00FC2AAC">
        <w:rPr>
          <w:rFonts w:eastAsiaTheme="minorEastAsia"/>
        </w:rPr>
        <w:t xml:space="preserve">both </w:t>
      </w:r>
      <w:r w:rsidR="004E5A86">
        <w:rPr>
          <w:rFonts w:eastAsiaTheme="minorEastAsia"/>
        </w:rPr>
        <w:t>the features and output. To do so, all the features are modified as following, so the new features can get the values only between 0 and 1.</w:t>
      </w:r>
    </w:p>
    <w:p w:rsidR="004E5A86" w:rsidRPr="004E5A86" w:rsidRDefault="004E5A86" w:rsidP="004E5A8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f>
            <m:fPr>
              <m:ctrlPr>
                <w:rPr>
                  <w:rFonts w:ascii="Cambria Math" w:hAnsi="Cambria Math"/>
                  <w:i/>
                </w:rPr>
              </m:ctrlPr>
            </m:fPr>
            <m:num>
              <m:r>
                <w:rPr>
                  <w:rFonts w:ascii="Cambria Math" w:hAnsi="Cambria Math"/>
                </w:rPr>
                <m:t>x</m:t>
              </m:r>
              <m:r>
                <w:rPr>
                  <w:rFonts w:ascii="Cambria Math" w:hAnsi="Cambria Math"/>
                </w:rPr>
                <m:t>-Min(</m:t>
              </m:r>
              <m:r>
                <w:rPr>
                  <w:rFonts w:ascii="Cambria Math" w:hAnsi="Cambria Math"/>
                </w:rPr>
                <m:t>x</m:t>
              </m:r>
              <m:r>
                <w:rPr>
                  <w:rFonts w:ascii="Cambria Math" w:hAnsi="Cambria Math"/>
                </w:rPr>
                <m:t>)</m:t>
              </m:r>
            </m:num>
            <m:den>
              <m:r>
                <w:rPr>
                  <w:rFonts w:ascii="Cambria Math" w:hAnsi="Cambria Math"/>
                </w:rPr>
                <m:t>Max</m:t>
              </m:r>
              <m:d>
                <m:dPr>
                  <m:ctrlPr>
                    <w:rPr>
                      <w:rFonts w:ascii="Cambria Math" w:hAnsi="Cambria Math"/>
                      <w:i/>
                    </w:rPr>
                  </m:ctrlPr>
                </m:dPr>
                <m:e>
                  <m:r>
                    <w:rPr>
                      <w:rFonts w:ascii="Cambria Math" w:hAnsi="Cambria Math"/>
                    </w:rPr>
                    <m:t>x</m:t>
                  </m:r>
                </m:e>
              </m:d>
              <m:r>
                <w:rPr>
                  <w:rFonts w:ascii="Cambria Math" w:hAnsi="Cambria Math"/>
                </w:rPr>
                <m:t>-Min(</m:t>
              </m:r>
              <m:r>
                <w:rPr>
                  <w:rFonts w:ascii="Cambria Math" w:hAnsi="Cambria Math"/>
                </w:rPr>
                <m:t>x</m:t>
              </m:r>
              <m:r>
                <w:rPr>
                  <w:rFonts w:ascii="Cambria Math" w:hAnsi="Cambria Math"/>
                </w:rPr>
                <m:t>)</m:t>
              </m:r>
            </m:den>
          </m:f>
        </m:oMath>
      </m:oMathPara>
    </w:p>
    <w:p w:rsidR="004E5A86" w:rsidRPr="004E5A86" w:rsidRDefault="004E5A86" w:rsidP="004E5A86">
      <w:pPr>
        <w:rPr>
          <w:rFonts w:eastAsiaTheme="minorEastAsia"/>
        </w:rPr>
      </w:pPr>
    </w:p>
    <w:p w:rsidR="004E5A86" w:rsidRPr="004E5A86" w:rsidRDefault="004E5A86" w:rsidP="004E5A86">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f>
            <m:fPr>
              <m:ctrlPr>
                <w:rPr>
                  <w:rFonts w:ascii="Cambria Math" w:hAnsi="Cambria Math"/>
                  <w:i/>
                </w:rPr>
              </m:ctrlPr>
            </m:fPr>
            <m:num>
              <m:r>
                <w:rPr>
                  <w:rFonts w:ascii="Cambria Math" w:hAnsi="Cambria Math"/>
                </w:rPr>
                <m:t>y</m:t>
              </m:r>
              <m:r>
                <w:rPr>
                  <w:rFonts w:ascii="Cambria Math" w:hAnsi="Cambria Math"/>
                </w:rPr>
                <m:t>-Min(</m:t>
              </m:r>
              <m:r>
                <w:rPr>
                  <w:rFonts w:ascii="Cambria Math" w:hAnsi="Cambria Math"/>
                </w:rPr>
                <m:t>y</m:t>
              </m:r>
              <m:r>
                <w:rPr>
                  <w:rFonts w:ascii="Cambria Math" w:hAnsi="Cambria Math"/>
                </w:rPr>
                <m:t>)</m:t>
              </m:r>
            </m:num>
            <m:den>
              <m:r>
                <w:rPr>
                  <w:rFonts w:ascii="Cambria Math" w:hAnsi="Cambria Math"/>
                </w:rPr>
                <m:t>Max</m:t>
              </m:r>
              <m:d>
                <m:dPr>
                  <m:ctrlPr>
                    <w:rPr>
                      <w:rFonts w:ascii="Cambria Math" w:hAnsi="Cambria Math"/>
                      <w:i/>
                    </w:rPr>
                  </m:ctrlPr>
                </m:dPr>
                <m:e>
                  <m:r>
                    <w:rPr>
                      <w:rFonts w:ascii="Cambria Math" w:hAnsi="Cambria Math"/>
                    </w:rPr>
                    <m:t>y</m:t>
                  </m:r>
                </m:e>
              </m:d>
              <m:r>
                <w:rPr>
                  <w:rFonts w:ascii="Cambria Math" w:hAnsi="Cambria Math"/>
                </w:rPr>
                <m:t>-Min(</m:t>
              </m:r>
              <m:r>
                <w:rPr>
                  <w:rFonts w:ascii="Cambria Math" w:hAnsi="Cambria Math"/>
                </w:rPr>
                <m:t>y)</m:t>
              </m:r>
            </m:den>
          </m:f>
        </m:oMath>
      </m:oMathPara>
    </w:p>
    <w:p w:rsidR="004E5A86" w:rsidRDefault="004E5A86" w:rsidP="00940E9A">
      <w:pPr>
        <w:jc w:val="both"/>
        <w:rPr>
          <w:rFonts w:eastAsiaTheme="minorEastAsia"/>
        </w:rPr>
      </w:pPr>
      <w:r>
        <w:rPr>
          <w:rFonts w:eastAsiaTheme="minorEastAsia"/>
        </w:rPr>
        <w:t xml:space="preserve">In this assignment, optimization is approached by </w:t>
      </w:r>
      <w:r w:rsidRPr="003B0010">
        <w:rPr>
          <w:rFonts w:eastAsiaTheme="minorEastAsia"/>
          <w:b/>
          <w:bCs/>
        </w:rPr>
        <w:t>Batch Gradient Descent Algorithm</w:t>
      </w:r>
      <w:r w:rsidR="003B0010">
        <w:rPr>
          <w:rFonts w:eastAsiaTheme="minorEastAsia"/>
        </w:rPr>
        <w:t xml:space="preserve">. Since the number of data points is not large, batch updating can lead to the convergence in a short time. </w:t>
      </w:r>
      <w:r w:rsidR="00FC2AAC">
        <w:rPr>
          <w:rFonts w:eastAsiaTheme="minorEastAsia"/>
        </w:rPr>
        <w:t>Thus,</w:t>
      </w:r>
      <w:r w:rsidR="003B0010">
        <w:rPr>
          <w:rFonts w:eastAsiaTheme="minorEastAsia"/>
        </w:rPr>
        <w:t xml:space="preserve"> here is the gradient formula, and the algorithm to update weight vector:</w:t>
      </w:r>
    </w:p>
    <w:p w:rsidR="003B0010" w:rsidRPr="003B0010" w:rsidRDefault="003B0010" w:rsidP="003B0010">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+λ</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p>
              <m:r>
                <w:rPr>
                  <w:rFonts w:ascii="Cambria Math" w:eastAsiaTheme="minorEastAsia" w:hAnsi="Cambria Math"/>
                </w:rPr>
                <m:t>2</m:t>
              </m:r>
            </m:sup>
          </m:sSup>
          <m:r>
            <w:rPr>
              <w:rFonts w:ascii="Cambria Math" w:eastAsiaTheme="minorEastAsia" w:hAnsi="Cambria Math"/>
            </w:rPr>
            <m:t>)</m:t>
          </m:r>
        </m:oMath>
      </m:oMathPara>
    </w:p>
    <w:p w:rsidR="003B0010" w:rsidRPr="00AF4105" w:rsidRDefault="003B0010" w:rsidP="003B0010">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sub>
                      </m:sSub>
                    </m:den>
                  </m:f>
                </m:e>
              </m:d>
            </m:e>
            <m:sup>
              <m:r>
                <w:rPr>
                  <w:rFonts w:ascii="Cambria Math" w:eastAsiaTheme="minorEastAsia" w:hAnsi="Cambria Math"/>
                </w:rPr>
                <m:t>T</m:t>
              </m:r>
            </m:sup>
          </m:sSup>
        </m:oMath>
      </m:oMathPara>
    </w:p>
    <w:p w:rsidR="00AF4105" w:rsidRPr="00AF4105" w:rsidRDefault="00AF4105" w:rsidP="00AF410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rsidR="00AF4105" w:rsidRPr="00AF4105" w:rsidRDefault="00AF4105" w:rsidP="00AF4105">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+λW</m:t>
          </m:r>
        </m:oMath>
      </m:oMathPara>
    </w:p>
    <w:p w:rsidR="00AF4105" w:rsidRDefault="00AF4105" w:rsidP="00AF4105">
      <w:pPr>
        <w:rPr>
          <w:rFonts w:eastAsiaTheme="minorEastAsia"/>
        </w:rPr>
      </w:pPr>
      <w:r>
        <w:rPr>
          <w:rFonts w:eastAsiaTheme="minorEastAsia"/>
        </w:rPr>
        <w:lastRenderedPageBreak/>
        <w:t>With this in mind, the algorithm can be summarized as following:</w:t>
      </w:r>
    </w:p>
    <w:p w:rsidR="00AF4105" w:rsidRDefault="00AF4105" w:rsidP="00AF4105">
      <w:pPr>
        <w:ind w:firstLine="720"/>
        <w:rPr>
          <w:rFonts w:eastAsiaTheme="minorEastAsia"/>
        </w:rPr>
      </w:pP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m:t>
            </m:r>
          </m:sup>
        </m:sSup>
      </m:oMath>
      <w:r>
        <w:rPr>
          <w:rFonts w:eastAsiaTheme="minorEastAsia"/>
        </w:rPr>
        <w:tab/>
      </w:r>
    </w:p>
    <w:p w:rsidR="00AF4105" w:rsidRPr="00AF4105" w:rsidRDefault="00AF4105" w:rsidP="00AF4105">
      <w:pPr>
        <w:ind w:firstLine="720"/>
        <w:rPr>
          <w:rFonts w:eastAsiaTheme="minorEastAsia"/>
          <w:i/>
        </w:rPr>
      </w:pPr>
      <w:r>
        <w:rPr>
          <w:rFonts w:eastAsiaTheme="minorEastAsia"/>
          <w:i/>
          <w:iCs/>
        </w:rPr>
        <w:t>Repeat {</w:t>
      </w:r>
    </w:p>
    <w:p w:rsidR="00AF4105" w:rsidRDefault="00AF4105" w:rsidP="00AF4105">
      <w:pPr>
        <w:ind w:left="720" w:firstLine="720"/>
        <w:rPr>
          <w:rFonts w:eastAsiaTheme="minorEastAsia"/>
          <w:i/>
        </w:rPr>
      </w:pPr>
      <m:oMath>
        <m:r>
          <m:rPr>
            <m:sty m:val="p"/>
          </m:rPr>
          <w:rPr>
            <w:rFonts w:ascii="Cambria Math" w:eastAsiaTheme="minorEastAsia" w:hAnsi="Cambria Math"/>
          </w:rPr>
          <m:t>∇</m:t>
        </m:r>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+λW</m:t>
        </m:r>
      </m:oMath>
      <w:r>
        <w:rPr>
          <w:rFonts w:eastAsiaTheme="minorEastAsia"/>
          <w:i/>
        </w:rPr>
        <w:tab/>
      </w:r>
    </w:p>
    <w:p w:rsidR="00AF4105" w:rsidRDefault="00AF4105" w:rsidP="00AF4105">
      <w:pPr>
        <w:ind w:left="720" w:firstLine="720"/>
        <w:rPr>
          <w:rFonts w:eastAsiaTheme="minorEastAsia"/>
        </w:rPr>
      </w:pPr>
      <m:oMath>
        <m:r>
          <w:rPr>
            <w:rFonts w:ascii="Cambria Math" w:eastAsiaTheme="minorEastAsia" w:hAnsi="Cambria Math"/>
          </w:rPr>
          <m:t>W←W-α</m:t>
        </m:r>
        <m:r>
          <m:rPr>
            <m:sty m:val="p"/>
          </m:rPr>
          <w:rPr>
            <w:rFonts w:ascii="Cambria Math" w:eastAsiaTheme="minorEastAsia" w:hAnsi="Cambria Math"/>
          </w:rPr>
          <m:t>∇</m:t>
        </m:r>
        <m:r>
          <w:rPr>
            <w:rFonts w:ascii="Cambria Math" w:eastAsiaTheme="minorEastAsia" w:hAnsi="Cambria Math"/>
          </w:rPr>
          <m:t>E(W)</m:t>
        </m:r>
      </m:oMath>
      <w:r>
        <w:rPr>
          <w:rFonts w:eastAsiaTheme="minorEastAsia"/>
        </w:rPr>
        <w:tab/>
      </w:r>
    </w:p>
    <w:p w:rsidR="004E5A86" w:rsidRDefault="00AF4105" w:rsidP="00F41A63">
      <w:pPr>
        <w:ind w:firstLine="720"/>
        <w:rPr>
          <w:rFonts w:eastAsiaTheme="minorEastAsia"/>
          <w:i/>
          <w:iCs/>
        </w:rPr>
      </w:pPr>
      <w:r>
        <w:rPr>
          <w:rFonts w:eastAsiaTheme="minorEastAsia"/>
          <w:i/>
          <w:iCs/>
        </w:rPr>
        <w:t xml:space="preserve">} Until </w:t>
      </w:r>
      <m:oMath>
        <m:d>
          <m:dPr>
            <m:begChr m:val="|"/>
            <m:endChr m:val="|"/>
            <m:ctrlPr>
              <w:rPr>
                <w:rFonts w:ascii="Cambria Math" w:eastAsiaTheme="minorEastAsia" w:hAnsi="Cambria Math"/>
                <w:i/>
                <w:iCs/>
              </w:rPr>
            </m:ctrlPr>
          </m:dPr>
          <m:e>
            <m:r>
              <m:rPr>
                <m:sty m:val="p"/>
              </m:rPr>
              <w:rPr>
                <w:rFonts w:ascii="Cambria Math" w:eastAsiaTheme="minorEastAsia" w:hAnsi="Cambria Math"/>
              </w:rPr>
              <m:t>∇</m:t>
            </m:r>
            <m:r>
              <w:rPr>
                <w:rFonts w:ascii="Cambria Math" w:eastAsiaTheme="minorEastAsia" w:hAnsi="Cambria Math"/>
              </w:rPr>
              <m:t>E</m:t>
            </m:r>
            <m:d>
              <m:dPr>
                <m:ctrlPr>
                  <w:rPr>
                    <w:rFonts w:ascii="Cambria Math" w:eastAsiaTheme="minorEastAsia" w:hAnsi="Cambria Math"/>
                    <w:i/>
                    <w:iCs/>
                  </w:rPr>
                </m:ctrlPr>
              </m:dPr>
              <m:e>
                <m:r>
                  <w:rPr>
                    <w:rFonts w:ascii="Cambria Math" w:eastAsiaTheme="minorEastAsia" w:hAnsi="Cambria Math"/>
                  </w:rPr>
                  <m:t>W</m:t>
                </m:r>
              </m:e>
            </m:d>
          </m:e>
        </m:d>
        <m:r>
          <w:rPr>
            <w:rFonts w:ascii="Cambria Math" w:eastAsiaTheme="minorEastAsia" w:hAnsi="Cambria Math"/>
          </w:rPr>
          <m:t>&lt;ϵ</m:t>
        </m:r>
      </m:oMath>
    </w:p>
    <w:p w:rsidR="00F41A63" w:rsidRDefault="00F41A63" w:rsidP="00940E9A">
      <w:pPr>
        <w:jc w:val="both"/>
        <w:rPr>
          <w:rFonts w:eastAsiaTheme="minorEastAsia"/>
        </w:rPr>
      </w:pPr>
      <w:r>
        <w:rPr>
          <w:rFonts w:eastAsiaTheme="minorEastAsia"/>
        </w:rPr>
        <w:t xml:space="preserve">Where </w:t>
      </w:r>
      <m:oMath>
        <m:r>
          <w:rPr>
            <w:rFonts w:ascii="Cambria Math" w:eastAsiaTheme="minorEastAsia" w:hAnsi="Cambria Math"/>
          </w:rPr>
          <m:t>λ</m:t>
        </m:r>
      </m:oMath>
      <w:r>
        <w:rPr>
          <w:rFonts w:eastAsiaTheme="minorEastAsia"/>
        </w:rPr>
        <w:t xml:space="preserve"> is the regularization coefficient, and </w:t>
      </w:r>
      <m:oMath>
        <m:r>
          <w:rPr>
            <w:rFonts w:ascii="Cambria Math" w:eastAsiaTheme="minorEastAsia" w:hAnsi="Cambria Math"/>
          </w:rPr>
          <m:t>α</m:t>
        </m:r>
      </m:oMath>
      <w:r>
        <w:rPr>
          <w:rFonts w:eastAsiaTheme="minorEastAsia"/>
        </w:rPr>
        <w:t xml:space="preserve"> is the learning rate. Both of these coefficients are going to be analyzed and their effects on the outcome of the algorithm is going to be furtherly assessed.</w:t>
      </w:r>
      <w:r w:rsidR="00480433">
        <w:rPr>
          <w:rFonts w:eastAsiaTheme="minorEastAsia"/>
        </w:rPr>
        <w:t xml:space="preserve"> Based on my observation on the convergence of the algorithm and its general behavior in this particular case, I set the </w:t>
      </w:r>
      <m:oMath>
        <m:r>
          <w:rPr>
            <w:rFonts w:ascii="Cambria Math" w:eastAsiaTheme="minorEastAsia" w:hAnsi="Cambria Math"/>
            <w:highlight w:val="yellow"/>
            <w:u w:val="single"/>
          </w:rPr>
          <m:t>ϵ</m:t>
        </m:r>
      </m:oMath>
      <w:r w:rsidR="00480433" w:rsidRPr="00FC2AAC">
        <w:rPr>
          <w:rFonts w:eastAsiaTheme="minorEastAsia"/>
          <w:highlight w:val="yellow"/>
          <w:u w:val="single"/>
        </w:rPr>
        <w:t xml:space="preserve"> value to </w:t>
      </w:r>
      <w:r w:rsidR="00AA686B" w:rsidRPr="00FC2AAC">
        <w:rPr>
          <w:rFonts w:eastAsiaTheme="minorEastAsia"/>
          <w:highlight w:val="yellow"/>
          <w:u w:val="single"/>
        </w:rPr>
        <w:t>0.</w:t>
      </w:r>
      <w:r w:rsidR="00480433" w:rsidRPr="00FC2AAC">
        <w:rPr>
          <w:rFonts w:eastAsiaTheme="minorEastAsia"/>
          <w:highlight w:val="yellow"/>
          <w:u w:val="single"/>
        </w:rPr>
        <w:t>1.</w:t>
      </w:r>
    </w:p>
    <w:p w:rsidR="00F41A63" w:rsidRPr="00F41A63" w:rsidRDefault="00F41A63" w:rsidP="00F41A63">
      <w:pPr>
        <w:rPr>
          <w:rFonts w:eastAsiaTheme="minorEastAsia"/>
        </w:rPr>
      </w:pPr>
    </w:p>
    <w:p w:rsidR="00582996" w:rsidRDefault="0021700E" w:rsidP="00480433">
      <w:pPr>
        <w:pStyle w:val="Heading2"/>
        <w:rPr>
          <w:b/>
          <w:bCs/>
          <w:i/>
          <w:iCs/>
        </w:rPr>
      </w:pPr>
      <w:r>
        <w:rPr>
          <w:b/>
          <w:bCs/>
          <w:i/>
          <w:iCs/>
        </w:rPr>
        <w:t>Part I</w:t>
      </w:r>
      <w:r w:rsidR="00480433">
        <w:rPr>
          <w:b/>
          <w:bCs/>
          <w:i/>
          <w:iCs/>
        </w:rPr>
        <w:t xml:space="preserve">: Exploring Different Learning Rates, </w:t>
      </w:r>
      <m:oMath>
        <m:r>
          <m:rPr>
            <m:sty m:val="bi"/>
          </m:rPr>
          <w:rPr>
            <w:rFonts w:ascii="Cambria Math" w:hAnsi="Cambria Math"/>
          </w:rPr>
          <m:t>α</m:t>
        </m:r>
      </m:oMath>
    </w:p>
    <w:p w:rsidR="006E44BC" w:rsidRDefault="00480433" w:rsidP="00940E9A">
      <w:pPr>
        <w:jc w:val="both"/>
      </w:pPr>
      <w:r>
        <w:t>The approach I took to explore the effect of different learning rates on the learning process, would be to apply different learning rates to the algorithm, and compare the learning curves and the quickness of the algorithm in terms of convergence.  Thus, to do so, I ran t</w:t>
      </w:r>
      <w:r w:rsidR="00DF4243">
        <w:t xml:space="preserve">he algorithm with the following </w:t>
      </w:r>
      <w:r>
        <w:t>values of learni</w:t>
      </w:r>
      <w:r w:rsidR="0025778E">
        <w:t>ng rates</w:t>
      </w:r>
      <w:r w:rsidR="00DF4243">
        <w:t xml:space="preserve">. </w:t>
      </w:r>
      <w:r w:rsidR="00DF4243">
        <w:rPr>
          <w:u w:val="single"/>
        </w:rPr>
        <w:t>T</w:t>
      </w:r>
      <w:r w:rsidR="0025778E" w:rsidRPr="0025778E">
        <w:rPr>
          <w:u w:val="single"/>
        </w:rPr>
        <w:t>ime to convergence</w:t>
      </w:r>
      <w:r w:rsidR="0025778E">
        <w:t xml:space="preserve"> is captured as </w:t>
      </w:r>
      <w:r w:rsidR="00DF4243">
        <w:t>performance measurement, and result</w:t>
      </w:r>
      <w:r w:rsidR="00143DF8">
        <w:t>s are presented in Figure 1 which shows Time to Convergence versus the log learning</w:t>
      </w:r>
      <w:r w:rsidR="00940E9A">
        <w:t xml:space="preserve"> rate.</w:t>
      </w:r>
    </w:p>
    <w:p w:rsidR="00DF4243" w:rsidRPr="00143DF8" w:rsidRDefault="00DF4243" w:rsidP="00DF4243">
      <w:pPr>
        <w:jc w:val="both"/>
        <w:rPr>
          <w:rFonts w:eastAsiaTheme="minorEastAsia"/>
        </w:rPr>
      </w:pPr>
      <m:oMathPara>
        <m:oMath>
          <m:r>
            <w:rPr>
              <w:rFonts w:ascii="Cambria Math" w:hAnsi="Cambria Math"/>
            </w:rPr>
            <m:t>Log</m:t>
          </m:r>
          <m:d>
            <m:dPr>
              <m:ctrlPr>
                <w:rPr>
                  <w:rFonts w:ascii="Cambria Math" w:hAnsi="Cambria Math"/>
                  <w:i/>
                </w:rPr>
              </m:ctrlPr>
            </m:dPr>
            <m:e>
              <m:r>
                <w:rPr>
                  <w:rFonts w:ascii="Cambria Math" w:hAnsi="Cambria Math"/>
                </w:rPr>
                <m:t>α</m:t>
              </m:r>
            </m:e>
          </m:d>
          <m:r>
            <w:rPr>
              <w:rFonts w:ascii="Cambria Math" w:hAnsi="Cambria Math"/>
            </w:rPr>
            <m:t>={</m:t>
          </m:r>
          <m:r>
            <w:rPr>
              <w:rFonts w:ascii="Cambria Math" w:hAnsi="Cambria Math"/>
            </w:rPr>
            <m:t>-6,-5.9,-5.8, …, -0.2, -0.1,0</m:t>
          </m:r>
          <m:r>
            <w:rPr>
              <w:rFonts w:ascii="Cambria Math" w:hAnsi="Cambria Math"/>
            </w:rPr>
            <m:t>}</m:t>
          </m:r>
        </m:oMath>
      </m:oMathPara>
    </w:p>
    <w:p w:rsidR="00143DF8" w:rsidRDefault="00143DF8" w:rsidP="00143DF8">
      <w:pPr>
        <w:jc w:val="both"/>
        <w:rPr>
          <w:rFonts w:eastAsiaTheme="minorEastAsia"/>
        </w:rPr>
      </w:pPr>
      <w:r>
        <w:rPr>
          <w:rFonts w:eastAsiaTheme="minorEastAsia"/>
        </w:rPr>
        <w:t xml:space="preserve">Then the </w:t>
      </w:r>
      <m:oMath>
        <m:r>
          <w:rPr>
            <w:rFonts w:ascii="Cambria Math" w:eastAsiaTheme="minorEastAsia" w:hAnsi="Cambria Math"/>
          </w:rPr>
          <m:t>α</m:t>
        </m:r>
      </m:oMath>
      <w:r w:rsidR="00E636A7">
        <w:rPr>
          <w:rFonts w:eastAsiaTheme="minorEastAsia"/>
        </w:rPr>
        <w:t xml:space="preserve"> </w:t>
      </w:r>
      <w:proofErr w:type="gramStart"/>
      <w:r>
        <w:rPr>
          <w:rFonts w:eastAsiaTheme="minorEastAsia"/>
        </w:rPr>
        <w:t>itself</w:t>
      </w:r>
      <w:proofErr w:type="gramEnd"/>
      <w:r>
        <w:rPr>
          <w:rFonts w:eastAsiaTheme="minorEastAsia"/>
        </w:rPr>
        <w:t xml:space="preserve"> take the values ranging from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 xml:space="preserve"> and 0.</w:t>
      </w:r>
      <w:r w:rsidR="00940E9A">
        <w:rPr>
          <w:rFonts w:eastAsiaTheme="minorEastAsia"/>
        </w:rPr>
        <w:t xml:space="preserve"> </w:t>
      </w:r>
      <w:r w:rsidR="00940E9A">
        <w:t xml:space="preserve">The </w:t>
      </w:r>
      <m:oMath>
        <m:r>
          <w:rPr>
            <w:rFonts w:ascii="Cambria Math" w:hAnsi="Cambria Math"/>
          </w:rPr>
          <m:t>λ</m:t>
        </m:r>
      </m:oMath>
      <w:r w:rsidR="00940E9A">
        <w:rPr>
          <w:rFonts w:eastAsiaTheme="minorEastAsia"/>
        </w:rPr>
        <w:t xml:space="preserve"> in this experiment, for simplification, is set to 1. Each run has been going on for 100,000 trials, and if they had not been converged, their Time to Convergence is set to 10,000+.</w:t>
      </w:r>
    </w:p>
    <w:p w:rsidR="00EF3DC7" w:rsidRDefault="0037750D" w:rsidP="00143DF8">
      <w:pPr>
        <w:jc w:val="both"/>
        <w:rPr>
          <w:rFonts w:eastAsiaTheme="minorEastAsia"/>
        </w:rPr>
      </w:pPr>
      <w:r>
        <w:rPr>
          <w:rFonts w:eastAsiaTheme="minorEastAsia"/>
          <w:noProof/>
        </w:rPr>
        <w:drawing>
          <wp:inline distT="0" distB="0" distL="0" distR="0" wp14:anchorId="1E330F68" wp14:editId="27E2C4F3">
            <wp:extent cx="5943600" cy="2667000"/>
            <wp:effectExtent l="0" t="0" r="0" b="0"/>
            <wp:docPr id="1" name="Picture 1" descr="C:\Users\wang-grad\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grad\Download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rsidR="00DF4243" w:rsidRDefault="00552DD4" w:rsidP="00552DD4">
      <w:pPr>
        <w:jc w:val="center"/>
      </w:pPr>
      <w:r>
        <w:t xml:space="preserve">Figure 1. Time to Convergence vs. </w:t>
      </w:r>
      <w:r w:rsidR="00DD2A69">
        <w:t>Log (</w:t>
      </w:r>
      <w:r>
        <w:t>Learning Rate)</w:t>
      </w:r>
    </w:p>
    <w:p w:rsidR="00552DD4" w:rsidRDefault="00552DD4" w:rsidP="00552DD4">
      <w:pPr>
        <w:jc w:val="center"/>
      </w:pPr>
    </w:p>
    <w:tbl>
      <w:tblPr>
        <w:tblStyle w:val="TableGrid"/>
        <w:tblW w:w="0" w:type="auto"/>
        <w:jc w:val="center"/>
        <w:tblLook w:val="04A0" w:firstRow="1" w:lastRow="0" w:firstColumn="1" w:lastColumn="0" w:noHBand="0" w:noVBand="1"/>
      </w:tblPr>
      <w:tblGrid>
        <w:gridCol w:w="879"/>
        <w:gridCol w:w="830"/>
        <w:gridCol w:w="830"/>
        <w:gridCol w:w="830"/>
        <w:gridCol w:w="830"/>
        <w:gridCol w:w="830"/>
        <w:gridCol w:w="830"/>
        <w:gridCol w:w="830"/>
        <w:gridCol w:w="830"/>
        <w:gridCol w:w="830"/>
        <w:gridCol w:w="938"/>
      </w:tblGrid>
      <w:tr w:rsidR="00DF4243" w:rsidRPr="009F0717" w:rsidTr="00F47ECD">
        <w:trPr>
          <w:jc w:val="center"/>
        </w:trPr>
        <w:tc>
          <w:tcPr>
            <w:tcW w:w="9179" w:type="dxa"/>
            <w:gridSpan w:val="11"/>
            <w:shd w:val="clear" w:color="auto" w:fill="BDD6EE" w:themeFill="accent1" w:themeFillTint="66"/>
          </w:tcPr>
          <w:p w:rsidR="00DF4243" w:rsidRPr="009F0717" w:rsidRDefault="00DF4243" w:rsidP="00F47ECD">
            <w:pPr>
              <w:tabs>
                <w:tab w:val="left" w:pos="2391"/>
                <w:tab w:val="center" w:pos="4188"/>
              </w:tabs>
              <w:jc w:val="center"/>
            </w:pPr>
            <w:r>
              <w:t>Learning Rates</w:t>
            </w:r>
          </w:p>
        </w:tc>
      </w:tr>
      <w:tr w:rsidR="00552DD4" w:rsidRPr="009F0717" w:rsidTr="006263F5">
        <w:trPr>
          <w:jc w:val="center"/>
        </w:trPr>
        <w:tc>
          <w:tcPr>
            <w:tcW w:w="879" w:type="dxa"/>
            <w:shd w:val="clear" w:color="auto" w:fill="D0CECE" w:themeFill="background2" w:themeFillShade="E6"/>
          </w:tcPr>
          <w:p w:rsidR="00552DD4" w:rsidRPr="009F0717" w:rsidRDefault="00552DD4" w:rsidP="00552DD4">
            <m:oMathPara>
              <m:oMath>
                <m:r>
                  <m:rPr>
                    <m:sty m:val="p"/>
                  </m:rPr>
                  <w:rPr>
                    <w:rFonts w:ascii="Cambria Math" w:hAnsi="Cambria Math"/>
                  </w:rPr>
                  <m:t>log⁡</m:t>
                </m:r>
                <m:r>
                  <w:rPr>
                    <w:rFonts w:ascii="Cambria Math" w:hAnsi="Cambria Math"/>
                  </w:rPr>
                  <m:t>(α)</m:t>
                </m:r>
              </m:oMath>
            </m:oMathPara>
          </w:p>
        </w:tc>
        <w:tc>
          <w:tcPr>
            <w:tcW w:w="830" w:type="dxa"/>
            <w:shd w:val="clear" w:color="auto" w:fill="F7CAAC" w:themeFill="accent2" w:themeFillTint="66"/>
          </w:tcPr>
          <w:p w:rsidR="00552DD4" w:rsidRPr="009F0717" w:rsidRDefault="00552DD4" w:rsidP="00552DD4">
            <w:pPr>
              <w:jc w:val="center"/>
            </w:pPr>
            <w:r>
              <w:t>-3.6</w:t>
            </w:r>
          </w:p>
        </w:tc>
        <w:tc>
          <w:tcPr>
            <w:tcW w:w="830" w:type="dxa"/>
            <w:shd w:val="clear" w:color="auto" w:fill="F7CAAC" w:themeFill="accent2" w:themeFillTint="66"/>
          </w:tcPr>
          <w:p w:rsidR="00552DD4" w:rsidRPr="009F0717" w:rsidRDefault="00552DD4" w:rsidP="00552DD4">
            <w:pPr>
              <w:jc w:val="center"/>
            </w:pPr>
            <w:r>
              <w:t>-3.5</w:t>
            </w:r>
          </w:p>
        </w:tc>
        <w:tc>
          <w:tcPr>
            <w:tcW w:w="830" w:type="dxa"/>
            <w:shd w:val="clear" w:color="auto" w:fill="F7CAAC" w:themeFill="accent2" w:themeFillTint="66"/>
          </w:tcPr>
          <w:p w:rsidR="00552DD4" w:rsidRPr="009F0717" w:rsidRDefault="00552DD4" w:rsidP="00552DD4">
            <w:pPr>
              <w:jc w:val="center"/>
            </w:pPr>
            <w:r>
              <w:t>-3.4</w:t>
            </w:r>
          </w:p>
        </w:tc>
        <w:tc>
          <w:tcPr>
            <w:tcW w:w="830" w:type="dxa"/>
            <w:shd w:val="clear" w:color="auto" w:fill="F7CAAC" w:themeFill="accent2" w:themeFillTint="66"/>
          </w:tcPr>
          <w:p w:rsidR="00552DD4" w:rsidRPr="009F0717" w:rsidRDefault="00552DD4" w:rsidP="00552DD4">
            <w:pPr>
              <w:jc w:val="center"/>
            </w:pPr>
            <w:r>
              <w:t>-3.3</w:t>
            </w:r>
          </w:p>
        </w:tc>
        <w:tc>
          <w:tcPr>
            <w:tcW w:w="830" w:type="dxa"/>
            <w:shd w:val="clear" w:color="auto" w:fill="F7CAAC" w:themeFill="accent2" w:themeFillTint="66"/>
          </w:tcPr>
          <w:p w:rsidR="00552DD4" w:rsidRPr="009F0717" w:rsidRDefault="00552DD4" w:rsidP="00552DD4">
            <w:pPr>
              <w:jc w:val="center"/>
            </w:pPr>
            <w:r>
              <w:t>-3.2</w:t>
            </w:r>
          </w:p>
        </w:tc>
        <w:tc>
          <w:tcPr>
            <w:tcW w:w="830" w:type="dxa"/>
            <w:shd w:val="clear" w:color="auto" w:fill="F7CAAC" w:themeFill="accent2" w:themeFillTint="66"/>
          </w:tcPr>
          <w:p w:rsidR="00552DD4" w:rsidRPr="009F0717" w:rsidRDefault="00552DD4" w:rsidP="00552DD4">
            <w:pPr>
              <w:jc w:val="center"/>
            </w:pPr>
            <w:r>
              <w:t>-3.1</w:t>
            </w:r>
          </w:p>
        </w:tc>
        <w:tc>
          <w:tcPr>
            <w:tcW w:w="830" w:type="dxa"/>
            <w:shd w:val="clear" w:color="auto" w:fill="F7CAAC" w:themeFill="accent2" w:themeFillTint="66"/>
          </w:tcPr>
          <w:p w:rsidR="00552DD4" w:rsidRPr="009F0717" w:rsidRDefault="00552DD4" w:rsidP="00552DD4">
            <w:pPr>
              <w:jc w:val="center"/>
            </w:pPr>
            <w:r>
              <w:t>-3.0</w:t>
            </w:r>
          </w:p>
        </w:tc>
        <w:tc>
          <w:tcPr>
            <w:tcW w:w="830" w:type="dxa"/>
            <w:shd w:val="clear" w:color="auto" w:fill="F7CAAC" w:themeFill="accent2" w:themeFillTint="66"/>
          </w:tcPr>
          <w:p w:rsidR="00552DD4" w:rsidRPr="009F0717" w:rsidRDefault="00552DD4" w:rsidP="00552DD4">
            <w:pPr>
              <w:jc w:val="center"/>
            </w:pPr>
            <w:r>
              <w:t>-2.9</w:t>
            </w:r>
          </w:p>
        </w:tc>
        <w:tc>
          <w:tcPr>
            <w:tcW w:w="830" w:type="dxa"/>
            <w:shd w:val="clear" w:color="auto" w:fill="92D050"/>
          </w:tcPr>
          <w:p w:rsidR="00552DD4" w:rsidRPr="009F0717" w:rsidRDefault="00552DD4" w:rsidP="00552DD4">
            <w:pPr>
              <w:jc w:val="center"/>
            </w:pPr>
            <w:r>
              <w:t>-2.8</w:t>
            </w:r>
          </w:p>
        </w:tc>
        <w:tc>
          <w:tcPr>
            <w:tcW w:w="830" w:type="dxa"/>
            <w:shd w:val="clear" w:color="auto" w:fill="F7CAAC" w:themeFill="accent2" w:themeFillTint="66"/>
          </w:tcPr>
          <w:p w:rsidR="00552DD4" w:rsidRPr="009F0717" w:rsidRDefault="00552DD4" w:rsidP="00552DD4">
            <w:pPr>
              <w:jc w:val="center"/>
            </w:pPr>
            <w:r>
              <w:t>-2.7</w:t>
            </w:r>
          </w:p>
        </w:tc>
      </w:tr>
      <w:tr w:rsidR="0027731D" w:rsidRPr="009F0717" w:rsidTr="00552DD4">
        <w:trPr>
          <w:jc w:val="center"/>
        </w:trPr>
        <w:tc>
          <w:tcPr>
            <w:tcW w:w="879" w:type="dxa"/>
            <w:shd w:val="clear" w:color="auto" w:fill="D9D9D9" w:themeFill="background1" w:themeFillShade="D9"/>
          </w:tcPr>
          <w:p w:rsidR="00DF4243" w:rsidRPr="009F0717" w:rsidRDefault="0027731D" w:rsidP="00F47ECD">
            <m:oMathPara>
              <m:oMath>
                <m:r>
                  <w:rPr>
                    <w:rFonts w:ascii="Cambria Math" w:hAnsi="Cambria Math"/>
                  </w:rPr>
                  <m:t>α</m:t>
                </m:r>
              </m:oMath>
            </m:oMathPara>
          </w:p>
        </w:tc>
        <w:tc>
          <w:tcPr>
            <w:tcW w:w="830" w:type="dxa"/>
            <w:shd w:val="clear" w:color="auto" w:fill="F7CAAC" w:themeFill="accent2" w:themeFillTint="66"/>
          </w:tcPr>
          <w:p w:rsidR="00DF4243" w:rsidRPr="009C04E5" w:rsidRDefault="00552DD4" w:rsidP="00F47ECD">
            <w:pPr>
              <w:jc w:val="center"/>
            </w:pPr>
            <w:r>
              <w:t>0.0002</w:t>
            </w:r>
          </w:p>
        </w:tc>
        <w:tc>
          <w:tcPr>
            <w:tcW w:w="830" w:type="dxa"/>
            <w:shd w:val="clear" w:color="auto" w:fill="F7CAAC" w:themeFill="accent2" w:themeFillTint="66"/>
          </w:tcPr>
          <w:p w:rsidR="00DF4243" w:rsidRPr="009C04E5" w:rsidRDefault="00552DD4" w:rsidP="00F47ECD">
            <w:pPr>
              <w:jc w:val="center"/>
            </w:pPr>
            <w:r>
              <w:t>0.0003</w:t>
            </w:r>
          </w:p>
        </w:tc>
        <w:tc>
          <w:tcPr>
            <w:tcW w:w="830" w:type="dxa"/>
            <w:shd w:val="clear" w:color="auto" w:fill="F7CAAC" w:themeFill="accent2" w:themeFillTint="66"/>
          </w:tcPr>
          <w:p w:rsidR="00DF4243" w:rsidRPr="009C04E5" w:rsidRDefault="00552DD4" w:rsidP="00F47ECD">
            <w:pPr>
              <w:jc w:val="center"/>
            </w:pPr>
            <w:r>
              <w:t>0.0004</w:t>
            </w:r>
          </w:p>
        </w:tc>
        <w:tc>
          <w:tcPr>
            <w:tcW w:w="830" w:type="dxa"/>
            <w:shd w:val="clear" w:color="auto" w:fill="F7CAAC" w:themeFill="accent2" w:themeFillTint="66"/>
          </w:tcPr>
          <w:p w:rsidR="00DF4243" w:rsidRPr="009C04E5" w:rsidRDefault="00552DD4" w:rsidP="00F47ECD">
            <w:pPr>
              <w:jc w:val="center"/>
            </w:pPr>
            <w:r>
              <w:t>0.0005</w:t>
            </w:r>
          </w:p>
        </w:tc>
        <w:tc>
          <w:tcPr>
            <w:tcW w:w="830" w:type="dxa"/>
            <w:shd w:val="clear" w:color="auto" w:fill="F7CAAC" w:themeFill="accent2" w:themeFillTint="66"/>
          </w:tcPr>
          <w:p w:rsidR="00DF4243" w:rsidRPr="009C04E5" w:rsidRDefault="00552DD4" w:rsidP="00F47ECD">
            <w:pPr>
              <w:jc w:val="center"/>
            </w:pPr>
            <w:r>
              <w:t>0.0006</w:t>
            </w:r>
          </w:p>
        </w:tc>
        <w:tc>
          <w:tcPr>
            <w:tcW w:w="830" w:type="dxa"/>
            <w:shd w:val="clear" w:color="auto" w:fill="F7CAAC" w:themeFill="accent2" w:themeFillTint="66"/>
          </w:tcPr>
          <w:p w:rsidR="00DF4243" w:rsidRPr="009C04E5" w:rsidRDefault="00552DD4" w:rsidP="00F47ECD">
            <w:pPr>
              <w:jc w:val="center"/>
            </w:pPr>
            <w:r>
              <w:t>0.0008</w:t>
            </w:r>
          </w:p>
        </w:tc>
        <w:tc>
          <w:tcPr>
            <w:tcW w:w="830" w:type="dxa"/>
            <w:shd w:val="clear" w:color="auto" w:fill="F7CAAC" w:themeFill="accent2" w:themeFillTint="66"/>
          </w:tcPr>
          <w:p w:rsidR="00DF4243" w:rsidRPr="009C04E5" w:rsidRDefault="00552DD4" w:rsidP="00F47ECD">
            <w:pPr>
              <w:jc w:val="center"/>
            </w:pPr>
            <w:r>
              <w:t>0.001</w:t>
            </w:r>
          </w:p>
        </w:tc>
        <w:tc>
          <w:tcPr>
            <w:tcW w:w="830" w:type="dxa"/>
            <w:shd w:val="clear" w:color="auto" w:fill="F7CAAC" w:themeFill="accent2" w:themeFillTint="66"/>
          </w:tcPr>
          <w:p w:rsidR="00DF4243" w:rsidRPr="009C04E5" w:rsidRDefault="00552DD4" w:rsidP="00F47ECD">
            <w:pPr>
              <w:jc w:val="center"/>
            </w:pPr>
            <w:r>
              <w:t>0.0013</w:t>
            </w:r>
          </w:p>
        </w:tc>
        <w:tc>
          <w:tcPr>
            <w:tcW w:w="830" w:type="dxa"/>
            <w:shd w:val="clear" w:color="auto" w:fill="92D050"/>
          </w:tcPr>
          <w:p w:rsidR="00DF4243" w:rsidRPr="009C04E5" w:rsidRDefault="00552DD4" w:rsidP="00F47ECD">
            <w:pPr>
              <w:jc w:val="center"/>
            </w:pPr>
            <w:r>
              <w:t>0.0016</w:t>
            </w:r>
          </w:p>
        </w:tc>
        <w:tc>
          <w:tcPr>
            <w:tcW w:w="830" w:type="dxa"/>
            <w:shd w:val="clear" w:color="auto" w:fill="FF0000"/>
          </w:tcPr>
          <w:p w:rsidR="00DF4243" w:rsidRPr="009C04E5" w:rsidRDefault="00552DD4" w:rsidP="00F47ECD">
            <w:pPr>
              <w:jc w:val="center"/>
            </w:pPr>
            <w:r>
              <w:t>0.002</w:t>
            </w:r>
          </w:p>
        </w:tc>
      </w:tr>
      <w:tr w:rsidR="0027731D" w:rsidRPr="009F0717" w:rsidTr="00552DD4">
        <w:trPr>
          <w:jc w:val="center"/>
        </w:trPr>
        <w:tc>
          <w:tcPr>
            <w:tcW w:w="879" w:type="dxa"/>
            <w:shd w:val="clear" w:color="auto" w:fill="D9D9D9" w:themeFill="background1" w:themeFillShade="D9"/>
          </w:tcPr>
          <w:p w:rsidR="0027731D" w:rsidRDefault="0027731D" w:rsidP="0027731D">
            <w:pPr>
              <w:jc w:val="center"/>
              <w:rPr>
                <w:rFonts w:ascii="Calibri" w:eastAsia="Calibri" w:hAnsi="Calibri" w:cs="Arial"/>
              </w:rPr>
            </w:pPr>
            <w:r>
              <w:rPr>
                <w:rFonts w:ascii="Calibri" w:eastAsia="Calibri" w:hAnsi="Calibri" w:cs="Arial"/>
              </w:rPr>
              <w:t>Trials</w:t>
            </w:r>
          </w:p>
        </w:tc>
        <w:tc>
          <w:tcPr>
            <w:tcW w:w="830" w:type="dxa"/>
            <w:shd w:val="clear" w:color="auto" w:fill="FFE599" w:themeFill="accent4" w:themeFillTint="66"/>
          </w:tcPr>
          <w:p w:rsidR="0027731D" w:rsidRPr="009C04E5" w:rsidRDefault="00552DD4" w:rsidP="00F47ECD">
            <w:pPr>
              <w:jc w:val="center"/>
            </w:pPr>
            <w:r>
              <w:t>3373</w:t>
            </w:r>
          </w:p>
        </w:tc>
        <w:tc>
          <w:tcPr>
            <w:tcW w:w="830" w:type="dxa"/>
            <w:shd w:val="clear" w:color="auto" w:fill="FFE599" w:themeFill="accent4" w:themeFillTint="66"/>
          </w:tcPr>
          <w:p w:rsidR="0027731D" w:rsidRPr="009C04E5" w:rsidRDefault="00552DD4" w:rsidP="00F47ECD">
            <w:pPr>
              <w:jc w:val="center"/>
            </w:pPr>
            <w:r>
              <w:t>2679</w:t>
            </w:r>
          </w:p>
        </w:tc>
        <w:tc>
          <w:tcPr>
            <w:tcW w:w="830" w:type="dxa"/>
            <w:shd w:val="clear" w:color="auto" w:fill="FFE599" w:themeFill="accent4" w:themeFillTint="66"/>
          </w:tcPr>
          <w:p w:rsidR="0027731D" w:rsidRPr="009C04E5" w:rsidRDefault="00552DD4" w:rsidP="00F47ECD">
            <w:pPr>
              <w:jc w:val="center"/>
            </w:pPr>
            <w:r>
              <w:t>2128</w:t>
            </w:r>
          </w:p>
        </w:tc>
        <w:tc>
          <w:tcPr>
            <w:tcW w:w="830" w:type="dxa"/>
            <w:shd w:val="clear" w:color="auto" w:fill="FFE599" w:themeFill="accent4" w:themeFillTint="66"/>
          </w:tcPr>
          <w:p w:rsidR="0027731D" w:rsidRPr="009C04E5" w:rsidRDefault="00552DD4" w:rsidP="00F47ECD">
            <w:pPr>
              <w:jc w:val="center"/>
            </w:pPr>
            <w:r>
              <w:t>1690</w:t>
            </w:r>
          </w:p>
        </w:tc>
        <w:tc>
          <w:tcPr>
            <w:tcW w:w="830" w:type="dxa"/>
            <w:shd w:val="clear" w:color="auto" w:fill="FFE599" w:themeFill="accent4" w:themeFillTint="66"/>
          </w:tcPr>
          <w:p w:rsidR="0027731D" w:rsidRPr="009C04E5" w:rsidRDefault="00552DD4" w:rsidP="00F47ECD">
            <w:pPr>
              <w:jc w:val="center"/>
            </w:pPr>
            <w:r>
              <w:t>1343</w:t>
            </w:r>
          </w:p>
        </w:tc>
        <w:tc>
          <w:tcPr>
            <w:tcW w:w="830" w:type="dxa"/>
            <w:shd w:val="clear" w:color="auto" w:fill="FFE599" w:themeFill="accent4" w:themeFillTint="66"/>
          </w:tcPr>
          <w:p w:rsidR="0027731D" w:rsidRPr="009C04E5" w:rsidRDefault="00552DD4" w:rsidP="00F47ECD">
            <w:pPr>
              <w:jc w:val="center"/>
            </w:pPr>
            <w:r>
              <w:t>1067</w:t>
            </w:r>
          </w:p>
        </w:tc>
        <w:tc>
          <w:tcPr>
            <w:tcW w:w="830" w:type="dxa"/>
            <w:shd w:val="clear" w:color="auto" w:fill="FFE599" w:themeFill="accent4" w:themeFillTint="66"/>
          </w:tcPr>
          <w:p w:rsidR="0027731D" w:rsidRPr="009C04E5" w:rsidRDefault="00552DD4" w:rsidP="00F47ECD">
            <w:pPr>
              <w:jc w:val="center"/>
            </w:pPr>
            <w:r>
              <w:t>847</w:t>
            </w:r>
          </w:p>
        </w:tc>
        <w:tc>
          <w:tcPr>
            <w:tcW w:w="830" w:type="dxa"/>
            <w:shd w:val="clear" w:color="auto" w:fill="FFE599" w:themeFill="accent4" w:themeFillTint="66"/>
          </w:tcPr>
          <w:p w:rsidR="0027731D" w:rsidRPr="009C04E5" w:rsidRDefault="00552DD4" w:rsidP="00F47ECD">
            <w:pPr>
              <w:jc w:val="center"/>
            </w:pPr>
            <w:r>
              <w:t>673</w:t>
            </w:r>
          </w:p>
        </w:tc>
        <w:tc>
          <w:tcPr>
            <w:tcW w:w="830" w:type="dxa"/>
            <w:shd w:val="clear" w:color="auto" w:fill="FFFF00"/>
          </w:tcPr>
          <w:p w:rsidR="0027731D" w:rsidRPr="009C04E5" w:rsidRDefault="00552DD4" w:rsidP="00F47ECD">
            <w:pPr>
              <w:jc w:val="center"/>
            </w:pPr>
            <w:r>
              <w:t>535</w:t>
            </w:r>
          </w:p>
        </w:tc>
        <w:tc>
          <w:tcPr>
            <w:tcW w:w="830" w:type="dxa"/>
            <w:shd w:val="clear" w:color="auto" w:fill="FFFF00"/>
          </w:tcPr>
          <w:p w:rsidR="0027731D" w:rsidRPr="009C04E5" w:rsidRDefault="00DD2A69" w:rsidP="00F47ECD">
            <w:pPr>
              <w:jc w:val="center"/>
            </w:pPr>
            <w:r>
              <w:t>+</w:t>
            </w:r>
            <w:r w:rsidR="00552DD4">
              <w:t>10,000</w:t>
            </w:r>
          </w:p>
        </w:tc>
      </w:tr>
    </w:tbl>
    <w:p w:rsidR="0025778E" w:rsidRDefault="00552DD4" w:rsidP="00552DD4">
      <w:pPr>
        <w:jc w:val="center"/>
        <w:rPr>
          <w:rFonts w:eastAsiaTheme="minorEastAsia"/>
        </w:rPr>
      </w:pPr>
      <w:r>
        <w:rPr>
          <w:rFonts w:eastAsiaTheme="minorEastAsia"/>
        </w:rPr>
        <w:t xml:space="preserve">Table 1. # </w:t>
      </w:r>
      <w:proofErr w:type="gramStart"/>
      <w:r>
        <w:rPr>
          <w:rFonts w:eastAsiaTheme="minorEastAsia"/>
        </w:rPr>
        <w:t>Of</w:t>
      </w:r>
      <w:proofErr w:type="gramEnd"/>
      <w:r>
        <w:rPr>
          <w:rFonts w:eastAsiaTheme="minorEastAsia"/>
        </w:rPr>
        <w:t xml:space="preserve"> Trials to Convergence vs. Learning Rate</w:t>
      </w:r>
    </w:p>
    <w:p w:rsidR="00EF3DC7" w:rsidRDefault="00905067" w:rsidP="0002644B">
      <w:pPr>
        <w:jc w:val="both"/>
        <w:rPr>
          <w:rFonts w:eastAsiaTheme="minorEastAsia"/>
        </w:rPr>
      </w:pPr>
      <w:r>
        <w:rPr>
          <w:rFonts w:eastAsiaTheme="minorEastAsia"/>
        </w:rPr>
        <w:t xml:space="preserve">To clarify how different learning rates affect learning process, </w:t>
      </w:r>
      <w:r w:rsidR="00F5656A">
        <w:rPr>
          <w:rFonts w:eastAsiaTheme="minorEastAsia"/>
        </w:rPr>
        <w:t>Figure 2 shows</w:t>
      </w:r>
      <w:r>
        <w:rPr>
          <w:rFonts w:eastAsiaTheme="minorEastAsia"/>
        </w:rPr>
        <w:t xml:space="preserve"> three learning curves associated with three different learning rates.</w:t>
      </w:r>
    </w:p>
    <w:p w:rsidR="00905067" w:rsidRDefault="00F5656A" w:rsidP="002B2AA1">
      <w:pPr>
        <w:jc w:val="both"/>
        <w:rPr>
          <w:rFonts w:eastAsiaTheme="minorEastAsia"/>
        </w:rPr>
      </w:pPr>
      <w:r>
        <w:rPr>
          <w:rFonts w:eastAsiaTheme="minorEastAsia"/>
          <w:noProof/>
        </w:rPr>
        <w:drawing>
          <wp:inline distT="0" distB="0" distL="0" distR="0">
            <wp:extent cx="5943600" cy="3476625"/>
            <wp:effectExtent l="0" t="0" r="0" b="9525"/>
            <wp:docPr id="3" name="Picture 3" descr="C:\Users\wang-grad\Downloads\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grad\Downloads\1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5656A" w:rsidRDefault="00F5656A" w:rsidP="00F5656A">
      <w:pPr>
        <w:jc w:val="center"/>
        <w:rPr>
          <w:rFonts w:eastAsiaTheme="minorEastAsia"/>
        </w:rPr>
      </w:pPr>
      <w:r>
        <w:rPr>
          <w:rFonts w:eastAsiaTheme="minorEastAsia"/>
        </w:rPr>
        <w:t>Figure 2. Learning curves associated with three different learning rates</w:t>
      </w:r>
    </w:p>
    <w:p w:rsidR="00F5656A" w:rsidRDefault="00F23FCF" w:rsidP="0002644B">
      <w:pPr>
        <w:jc w:val="both"/>
        <w:rPr>
          <w:rFonts w:eastAsiaTheme="minorEastAsia"/>
        </w:rPr>
      </w:pPr>
      <w:r>
        <w:rPr>
          <w:rFonts w:eastAsiaTheme="minorEastAsia"/>
        </w:rPr>
        <w:t xml:space="preserve">As expected, the yellow curve, </w:t>
      </w:r>
      <w:r w:rsidR="006263F5">
        <w:rPr>
          <w:rFonts w:eastAsiaTheme="minorEastAsia"/>
        </w:rPr>
        <w:t xml:space="preserve">which </w:t>
      </w:r>
      <w:r>
        <w:rPr>
          <w:rFonts w:eastAsiaTheme="minorEastAsia"/>
        </w:rPr>
        <w:t xml:space="preserve">is associate with learning rate </w:t>
      </w:r>
      <w:proofErr w:type="gramStart"/>
      <w:r>
        <w:rPr>
          <w:rFonts w:eastAsiaTheme="minorEastAsia"/>
        </w:rPr>
        <w:t xml:space="preserve">of </w:t>
      </w:r>
      <w:proofErr w:type="gramEnd"/>
      <m:oMath>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006263F5">
        <w:rPr>
          <w:rFonts w:eastAsiaTheme="minorEastAsia"/>
        </w:rPr>
        <w:t xml:space="preserve">, </w:t>
      </w:r>
      <w:r>
        <w:rPr>
          <w:rFonts w:eastAsiaTheme="minorEastAsia"/>
        </w:rPr>
        <w:t xml:space="preserve">is slowly converging to the optimal wright vector. On the other end, the blue line represents the optimal learning rate which equals to </w:t>
      </w:r>
      <w:r w:rsidRPr="006263F5">
        <w:rPr>
          <w:rFonts w:eastAsiaTheme="minorEastAsia"/>
          <w:shd w:val="clear" w:color="auto" w:fill="FFFF00"/>
        </w:rPr>
        <w:t>0.0016</w:t>
      </w:r>
      <w:r>
        <w:rPr>
          <w:rFonts w:eastAsiaTheme="minorEastAsia"/>
        </w:rPr>
        <w:t>, and it converges to the optimal W faster than the others do.</w:t>
      </w:r>
    </w:p>
    <w:p w:rsidR="00EF3DC7" w:rsidRDefault="00EF3DC7" w:rsidP="0002644B">
      <w:pPr>
        <w:jc w:val="both"/>
        <w:rPr>
          <w:b/>
          <w:bCs/>
        </w:rPr>
      </w:pPr>
      <w:r>
        <w:rPr>
          <w:b/>
          <w:bCs/>
        </w:rPr>
        <w:t>Discussion</w:t>
      </w:r>
    </w:p>
    <w:p w:rsidR="00EF3DC7" w:rsidRPr="00EF3DC7" w:rsidRDefault="00EF3DC7" w:rsidP="0002644B">
      <w:pPr>
        <w:jc w:val="both"/>
      </w:pPr>
      <w:r>
        <w:t>The result are</w:t>
      </w:r>
      <w:r w:rsidR="0002644B">
        <w:t xml:space="preserve"> totally</w:t>
      </w:r>
      <w:r>
        <w:t xml:space="preserve"> in line with the intuition. There is an optimum </w:t>
      </w:r>
      <w:r w:rsidR="0002644B">
        <w:t xml:space="preserve">value </w:t>
      </w:r>
      <w:r>
        <w:t xml:space="preserve">for the learning rate, which minimizes the convergence time. As you decrease the learning rate, it takes longer for the algorithm to converge. On the other hand, if you increase the learning rate over that threshold, it may cause oscillation since the algorithm jumps over the optimum value of the objective function, which leads to </w:t>
      </w:r>
      <w:r w:rsidR="007A1758">
        <w:t>longer convergence tim</w:t>
      </w:r>
      <w:r w:rsidR="0002644B">
        <w:t>es and in some cases, failure to</w:t>
      </w:r>
      <w:r w:rsidR="007A1758">
        <w:t xml:space="preserve"> converge</w:t>
      </w:r>
      <w:r w:rsidR="00E636A7">
        <w:t>nce</w:t>
      </w:r>
      <w:r w:rsidR="007A1758">
        <w:t xml:space="preserve">. As you </w:t>
      </w:r>
      <w:r w:rsidR="00F26195">
        <w:t>saw</w:t>
      </w:r>
      <w:r w:rsidR="007A1758">
        <w:t xml:space="preserve"> in the Table 1 and Figure 1, the optimum learning rate in this case is </w:t>
      </w:r>
      <w:r w:rsidR="007A1758" w:rsidRPr="007A1758">
        <w:rPr>
          <w:highlight w:val="yellow"/>
        </w:rPr>
        <w:t>0.0016</w:t>
      </w:r>
      <w:r w:rsidR="007A1758">
        <w:t>.</w:t>
      </w:r>
    </w:p>
    <w:p w:rsidR="00EF3DC7" w:rsidRPr="002B2AA1" w:rsidRDefault="00EF3DC7" w:rsidP="002B2AA1">
      <w:pPr>
        <w:jc w:val="both"/>
        <w:rPr>
          <w:rFonts w:eastAsiaTheme="minorEastAsia"/>
        </w:rPr>
      </w:pPr>
    </w:p>
    <w:p w:rsidR="003E532C" w:rsidRDefault="0021700E" w:rsidP="009F0717">
      <w:pPr>
        <w:pStyle w:val="Heading2"/>
        <w:rPr>
          <w:b/>
          <w:bCs/>
          <w:i/>
          <w:iCs/>
        </w:rPr>
      </w:pPr>
      <w:r>
        <w:rPr>
          <w:b/>
          <w:bCs/>
          <w:i/>
          <w:iCs/>
        </w:rPr>
        <w:lastRenderedPageBreak/>
        <w:t>Part II</w:t>
      </w:r>
      <w:r w:rsidR="006E44BC" w:rsidRPr="004B5C93">
        <w:rPr>
          <w:b/>
          <w:bCs/>
          <w:i/>
          <w:iCs/>
        </w:rPr>
        <w:t xml:space="preserve">: </w:t>
      </w:r>
      <w:r w:rsidR="00E636A7">
        <w:rPr>
          <w:b/>
          <w:bCs/>
          <w:i/>
          <w:iCs/>
        </w:rPr>
        <w:t>Exploring Different Regularization Coefficient</w:t>
      </w:r>
    </w:p>
    <w:p w:rsidR="009F0717" w:rsidRDefault="00AA686B" w:rsidP="00A306AE">
      <w:pPr>
        <w:jc w:val="both"/>
        <w:rPr>
          <w:rFonts w:eastAsiaTheme="minorEastAsia"/>
        </w:rPr>
      </w:pPr>
      <w:r>
        <w:t xml:space="preserve">Knowing that learning rate of 0.0016 works fine with the algorithm, we can play with </w:t>
      </w:r>
      <m:oMath>
        <m:r>
          <w:rPr>
            <w:rFonts w:ascii="Cambria Math" w:hAnsi="Cambria Math"/>
          </w:rPr>
          <m:t>λ</m:t>
        </m:r>
      </m:oMath>
      <w:r>
        <w:rPr>
          <w:rFonts w:eastAsiaTheme="minorEastAsia"/>
        </w:rPr>
        <w:t xml:space="preserve"> to assess its effect on the algorithm. Like the previous section, </w:t>
      </w:r>
      <m:oMath>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λ</m:t>
            </m:r>
          </m:e>
        </m:d>
      </m:oMath>
      <w:r>
        <w:rPr>
          <w:rFonts w:eastAsiaTheme="minorEastAsia"/>
        </w:rPr>
        <w:t xml:space="preserve"> is set to vary between the following values:</w:t>
      </w:r>
    </w:p>
    <w:p w:rsidR="00AA686B" w:rsidRPr="00AA686B" w:rsidRDefault="00AA686B" w:rsidP="00AA686B">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λ</m:t>
                  </m:r>
                </m:e>
              </m:d>
            </m:e>
          </m:func>
          <m:r>
            <w:rPr>
              <w:rFonts w:ascii="Cambria Math" w:hAnsi="Cambria Math"/>
            </w:rPr>
            <m:t>={-</m:t>
          </m:r>
          <m:r>
            <w:rPr>
              <w:rFonts w:ascii="Cambria Math" w:hAnsi="Cambria Math"/>
            </w:rPr>
            <m:t>3</m:t>
          </m:r>
          <m:r>
            <w:rPr>
              <w:rFonts w:ascii="Cambria Math" w:hAnsi="Cambria Math"/>
            </w:rPr>
            <m:t>, -</m:t>
          </m:r>
          <m:r>
            <w:rPr>
              <w:rFonts w:ascii="Cambria Math" w:hAnsi="Cambria Math"/>
            </w:rPr>
            <m:t>2</m:t>
          </m:r>
          <m:r>
            <w:rPr>
              <w:rFonts w:ascii="Cambria Math" w:hAnsi="Cambria Math"/>
            </w:rPr>
            <m:t>.9, -</m:t>
          </m:r>
          <m:r>
            <w:rPr>
              <w:rFonts w:ascii="Cambria Math" w:hAnsi="Cambria Math"/>
            </w:rPr>
            <m:t>2</m:t>
          </m:r>
          <m:r>
            <w:rPr>
              <w:rFonts w:ascii="Cambria Math" w:hAnsi="Cambria Math"/>
            </w:rPr>
            <m:t>.8, …, 1.8, 1.9, 2.0}</m:t>
          </m:r>
        </m:oMath>
      </m:oMathPara>
    </w:p>
    <w:p w:rsidR="00AA686B" w:rsidRDefault="00AA686B" w:rsidP="00A306AE">
      <w:pPr>
        <w:jc w:val="both"/>
        <w:rPr>
          <w:rFonts w:eastAsiaTheme="minorEastAsia"/>
        </w:rPr>
      </w:pPr>
      <w:r>
        <w:rPr>
          <w:rFonts w:eastAsiaTheme="minorEastAsia"/>
        </w:rPr>
        <w:t xml:space="preserve">The </w:t>
      </w:r>
      <w:proofErr w:type="gramStart"/>
      <w:r>
        <w:rPr>
          <w:rFonts w:eastAsiaTheme="minorEastAsia"/>
        </w:rPr>
        <w:t xml:space="preserve">the </w:t>
      </w:r>
      <m:oMath>
        <m:r>
          <w:rPr>
            <w:rFonts w:ascii="Cambria Math" w:eastAsiaTheme="minorEastAsia" w:hAnsi="Cambria Math"/>
          </w:rPr>
          <m:t>λ</m:t>
        </m:r>
      </m:oMath>
      <w:r>
        <w:rPr>
          <w:rFonts w:eastAsiaTheme="minorEastAsia"/>
        </w:rPr>
        <w:t xml:space="preserve"> itself</w:t>
      </w:r>
      <w:proofErr w:type="gramEnd"/>
      <w:r>
        <w:rPr>
          <w:rFonts w:eastAsiaTheme="minorEastAsia"/>
        </w:rPr>
        <w:t xml:space="preserve"> changes from </w:t>
      </w:r>
      <m:oMath>
        <m:r>
          <w:rPr>
            <w:rFonts w:ascii="Cambria Math" w:eastAsiaTheme="minorEastAsia" w:hAnsi="Cambria Math"/>
          </w:rPr>
          <m:t>0.001</m:t>
        </m:r>
      </m:oMath>
      <w:r>
        <w:rPr>
          <w:rFonts w:eastAsiaTheme="minorEastAsia"/>
        </w:rPr>
        <w:t xml:space="preserve"> to 100. Figure 3 shows the results of sum of squared error on the tr</w:t>
      </w:r>
      <w:r w:rsidR="007C672C">
        <w:rPr>
          <w:rFonts w:eastAsiaTheme="minorEastAsia"/>
        </w:rPr>
        <w:t>aining data, and the test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5"/>
        <w:gridCol w:w="4725"/>
      </w:tblGrid>
      <w:tr w:rsidR="009F78D3" w:rsidTr="00110FE9">
        <w:tc>
          <w:tcPr>
            <w:tcW w:w="4630" w:type="dxa"/>
          </w:tcPr>
          <w:p w:rsidR="009F78D3" w:rsidRDefault="009F78D3" w:rsidP="00AA686B">
            <w:pPr>
              <w:rPr>
                <w:rFonts w:eastAsiaTheme="minorEastAsia"/>
              </w:rPr>
            </w:pPr>
            <w:r>
              <w:rPr>
                <w:rFonts w:eastAsiaTheme="minorEastAsia"/>
                <w:noProof/>
              </w:rPr>
              <w:drawing>
                <wp:inline distT="0" distB="0" distL="0" distR="0">
                  <wp:extent cx="3086100" cy="2314575"/>
                  <wp:effectExtent l="0" t="0" r="0" b="9525"/>
                  <wp:docPr id="7" name="Picture 7" descr="C:\Users\wang-grad\Downloads\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grad\Downloads\2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475" cy="2314856"/>
                          </a:xfrm>
                          <a:prstGeom prst="rect">
                            <a:avLst/>
                          </a:prstGeom>
                          <a:noFill/>
                          <a:ln>
                            <a:noFill/>
                          </a:ln>
                        </pic:spPr>
                      </pic:pic>
                    </a:graphicData>
                  </a:graphic>
                </wp:inline>
              </w:drawing>
            </w:r>
          </w:p>
        </w:tc>
        <w:tc>
          <w:tcPr>
            <w:tcW w:w="4720" w:type="dxa"/>
          </w:tcPr>
          <w:p w:rsidR="009F78D3" w:rsidRDefault="009F78D3" w:rsidP="00AA686B">
            <w:pPr>
              <w:rPr>
                <w:rFonts w:eastAsiaTheme="minorEastAsia"/>
              </w:rPr>
            </w:pPr>
            <w:r>
              <w:rPr>
                <w:rFonts w:eastAsiaTheme="minorEastAsia"/>
                <w:noProof/>
              </w:rPr>
              <w:drawing>
                <wp:inline distT="0" distB="0" distL="0" distR="0" wp14:anchorId="63AA73E5" wp14:editId="1D2D02D1">
                  <wp:extent cx="3149600" cy="2362200"/>
                  <wp:effectExtent l="0" t="0" r="0" b="0"/>
                  <wp:docPr id="6" name="Picture 6" descr="C:\Users\wang-grad\Downloads\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ng-grad\Downloads\2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tc>
      </w:tr>
      <w:tr w:rsidR="009F78D3" w:rsidTr="00110FE9">
        <w:tc>
          <w:tcPr>
            <w:tcW w:w="9350" w:type="dxa"/>
            <w:gridSpan w:val="2"/>
          </w:tcPr>
          <w:p w:rsidR="009F78D3" w:rsidRDefault="009F78D3" w:rsidP="00110FE9">
            <w:pPr>
              <w:jc w:val="center"/>
              <w:rPr>
                <w:rFonts w:eastAsiaTheme="minorEastAsia"/>
              </w:rPr>
            </w:pPr>
            <w:r>
              <w:rPr>
                <w:rFonts w:eastAsiaTheme="minorEastAsia"/>
              </w:rPr>
              <w:t xml:space="preserve">Figure 3. Sum of Squared Error of Training and Test Data vs. </w:t>
            </w:r>
            <w:r w:rsidR="00110FE9">
              <w:rPr>
                <w:rFonts w:eastAsiaTheme="minorEastAsia"/>
              </w:rPr>
              <w:t>Log(Regularization Coefficient)</w:t>
            </w:r>
          </w:p>
        </w:tc>
      </w:tr>
    </w:tbl>
    <w:p w:rsidR="00110FE9" w:rsidRDefault="00110FE9" w:rsidP="00917DE9">
      <w:pPr>
        <w:rPr>
          <w:rFonts w:eastAsiaTheme="minorEastAsia"/>
        </w:rPr>
      </w:pPr>
    </w:p>
    <w:p w:rsidR="000A71F7" w:rsidRDefault="000A71F7" w:rsidP="00917DE9">
      <w:pPr>
        <w:rPr>
          <w:rFonts w:eastAsiaTheme="minorEastAsia"/>
        </w:rPr>
      </w:pPr>
    </w:p>
    <w:p w:rsidR="00917DE9" w:rsidRDefault="00917DE9" w:rsidP="00917DE9">
      <w:pPr>
        <w:rPr>
          <w:b/>
          <w:bCs/>
        </w:rPr>
      </w:pPr>
      <w:r>
        <w:rPr>
          <w:b/>
          <w:bCs/>
        </w:rPr>
        <w:t>Discussion</w:t>
      </w:r>
    </w:p>
    <w:p w:rsidR="00DB2489" w:rsidRDefault="00110FE9" w:rsidP="00A306AE">
      <w:pPr>
        <w:jc w:val="both"/>
        <w:rPr>
          <w:rFonts w:eastAsiaTheme="minorEastAsia"/>
        </w:rPr>
      </w:pPr>
      <w:r>
        <w:t xml:space="preserve">As shown in the figure 3, the best regularization coefficient which leads to the least SSE on the testing data, </w:t>
      </w:r>
      <w:proofErr w:type="gramStart"/>
      <w:r w:rsidR="001969CE">
        <w:t xml:space="preserve">is </w:t>
      </w:r>
      <w:proofErr w:type="gramEnd"/>
      <m:oMath>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0.2</m:t>
            </m:r>
          </m:sup>
        </m:sSup>
        <m:r>
          <w:rPr>
            <w:rFonts w:ascii="Cambria Math" w:hAnsi="Cambria Math"/>
            <w:highlight w:val="yellow"/>
          </w:rPr>
          <m:t>=1.58</m:t>
        </m:r>
      </m:oMath>
      <w:r>
        <w:rPr>
          <w:rFonts w:eastAsiaTheme="minorEastAsia"/>
        </w:rPr>
        <w:t>.</w:t>
      </w:r>
    </w:p>
    <w:p w:rsidR="00A306AE" w:rsidRPr="00D431D5" w:rsidRDefault="00917DE9" w:rsidP="00A306AE">
      <w:pPr>
        <w:pStyle w:val="ListParagraph"/>
        <w:numPr>
          <w:ilvl w:val="0"/>
          <w:numId w:val="25"/>
        </w:numPr>
        <w:jc w:val="both"/>
      </w:pPr>
      <w:r>
        <w:t xml:space="preserve">As we expected, the trend of SSE is increasing as we increase </w:t>
      </w:r>
      <m:oMath>
        <m:r>
          <w:rPr>
            <w:rFonts w:ascii="Cambria Math" w:hAnsi="Cambria Math"/>
          </w:rPr>
          <m:t>λ</m:t>
        </m:r>
      </m:oMath>
      <w:r w:rsidR="00110FE9" w:rsidRPr="00DB2489">
        <w:rPr>
          <w:rFonts w:eastAsiaTheme="minorEastAsia"/>
        </w:rPr>
        <w:t xml:space="preserve">, mainly because, when the </w:t>
      </w:r>
      <m:oMath>
        <m:r>
          <w:rPr>
            <w:rFonts w:ascii="Cambria Math" w:eastAsiaTheme="minorEastAsia" w:hAnsi="Cambria Math"/>
          </w:rPr>
          <m:t>λ</m:t>
        </m:r>
      </m:oMath>
      <w:r w:rsidR="00110FE9" w:rsidRPr="00DB2489">
        <w:rPr>
          <w:rFonts w:eastAsiaTheme="minorEastAsia"/>
        </w:rPr>
        <w:t xml:space="preserve"> is increased, the algorithm tends to fit simpler models to the data which inherently leads to higher errors on training data</w:t>
      </w:r>
      <w:r w:rsidR="00A306AE">
        <w:rPr>
          <w:rFonts w:eastAsiaTheme="minorEastAsia"/>
        </w:rPr>
        <w:t xml:space="preserve"> since it might not be able to explain the data in a way that a more complex model with higher W values can.</w:t>
      </w:r>
    </w:p>
    <w:p w:rsidR="00D431D5" w:rsidRPr="00DB2489" w:rsidRDefault="00D431D5" w:rsidP="00D431D5">
      <w:pPr>
        <w:pStyle w:val="ListParagraph"/>
        <w:jc w:val="both"/>
      </w:pPr>
    </w:p>
    <w:p w:rsidR="00917DE9" w:rsidRPr="00917DE9" w:rsidRDefault="00110FE9" w:rsidP="00A306AE">
      <w:pPr>
        <w:pStyle w:val="ListParagraph"/>
        <w:numPr>
          <w:ilvl w:val="0"/>
          <w:numId w:val="25"/>
        </w:numPr>
        <w:jc w:val="both"/>
      </w:pPr>
      <w:r w:rsidRPr="00DB2489">
        <w:rPr>
          <w:rFonts w:eastAsiaTheme="minorEastAsia"/>
        </w:rPr>
        <w:t xml:space="preserve">However, </w:t>
      </w:r>
      <w:r w:rsidR="00A306AE">
        <w:rPr>
          <w:rFonts w:eastAsiaTheme="minorEastAsia"/>
        </w:rPr>
        <w:t xml:space="preserve">an </w:t>
      </w:r>
      <w:r w:rsidRPr="00DB2489">
        <w:rPr>
          <w:rFonts w:eastAsiaTheme="minorEastAsia"/>
        </w:rPr>
        <w:t xml:space="preserve">increase in </w:t>
      </w:r>
      <m:oMath>
        <m:r>
          <w:rPr>
            <w:rFonts w:ascii="Cambria Math" w:eastAsiaTheme="minorEastAsia" w:hAnsi="Cambria Math"/>
          </w:rPr>
          <m:t>λ</m:t>
        </m:r>
      </m:oMath>
      <w:r w:rsidRPr="00DB2489">
        <w:rPr>
          <w:rFonts w:eastAsiaTheme="minorEastAsia"/>
        </w:rPr>
        <w:t xml:space="preserve"> </w:t>
      </w:r>
      <w:r w:rsidR="001969CE">
        <w:t xml:space="preserve">to some point decreases the error on the testing data, and after a threshold, </w:t>
      </w:r>
      <w:r w:rsidR="00A306AE">
        <w:t xml:space="preserve">it </w:t>
      </w:r>
      <w:r w:rsidR="001969CE">
        <w:t>starts to in</w:t>
      </w:r>
      <w:r w:rsidR="00A306AE">
        <w:t>crease the SSE. This is because</w:t>
      </w:r>
      <w:r w:rsidR="001969CE">
        <w:t xml:space="preserve"> the complex model which comes with low regularization coefficients, cause over-fitting. When </w:t>
      </w:r>
      <w:proofErr w:type="gramStart"/>
      <w:r w:rsidR="001969CE">
        <w:t xml:space="preserve">the </w:t>
      </w:r>
      <m:oMath>
        <m:r>
          <w:rPr>
            <w:rFonts w:ascii="Cambria Math" w:hAnsi="Cambria Math"/>
          </w:rPr>
          <m:t>λ</m:t>
        </m:r>
      </m:oMath>
      <w:r w:rsidR="001969CE" w:rsidRPr="00DB2489">
        <w:rPr>
          <w:rFonts w:eastAsiaTheme="minorEastAsia"/>
        </w:rPr>
        <w:t xml:space="preserve"> is</w:t>
      </w:r>
      <w:proofErr w:type="gramEnd"/>
      <w:r w:rsidR="001969CE" w:rsidRPr="00DB2489">
        <w:rPr>
          <w:rFonts w:eastAsiaTheme="minorEastAsia"/>
        </w:rPr>
        <w:t xml:space="preserve"> increased, over-fitting will be resolved to some point, and after that, u</w:t>
      </w:r>
      <w:r w:rsidR="00A306AE">
        <w:rPr>
          <w:rFonts w:eastAsiaTheme="minorEastAsia"/>
        </w:rPr>
        <w:t>nder-fitting comes to the place due to over-simplification of the model.</w:t>
      </w:r>
    </w:p>
    <w:p w:rsidR="00A306AE" w:rsidRDefault="00A306AE">
      <w:pPr>
        <w:rPr>
          <w:rFonts w:eastAsiaTheme="minorEastAsia"/>
        </w:rPr>
      </w:pPr>
      <w:r>
        <w:rPr>
          <w:rFonts w:eastAsiaTheme="minorEastAsia"/>
        </w:rPr>
        <w:br w:type="page"/>
      </w:r>
    </w:p>
    <w:p w:rsidR="005913A3" w:rsidRDefault="004D2401" w:rsidP="00C406CE">
      <w:pPr>
        <w:pStyle w:val="Heading2"/>
        <w:rPr>
          <w:b/>
          <w:bCs/>
          <w:i/>
          <w:iCs/>
        </w:rPr>
      </w:pPr>
      <w:r w:rsidRPr="004D2401">
        <w:rPr>
          <w:b/>
          <w:bCs/>
          <w:i/>
          <w:iCs/>
        </w:rPr>
        <w:lastRenderedPageBreak/>
        <w:t>Part II</w:t>
      </w:r>
      <w:r w:rsidR="00865099">
        <w:rPr>
          <w:b/>
          <w:bCs/>
          <w:i/>
          <w:iCs/>
        </w:rPr>
        <w:t>I: Cross-Validation</w:t>
      </w:r>
    </w:p>
    <w:p w:rsidR="00C406CE" w:rsidRDefault="00C406CE" w:rsidP="00C406CE">
      <w:r>
        <w:t>As suggested in the assignment, 10-fold cross validation has been implemented on the training data. The results of sum of squared error are presented in Figure 4.</w:t>
      </w:r>
      <w:r w:rsidR="00626DF1">
        <w:t xml:space="preserve"> Just like the previous section, I tried different values for regularization coefficient as following:</w:t>
      </w:r>
    </w:p>
    <w:p w:rsidR="00626DF1" w:rsidRPr="00626DF1" w:rsidRDefault="00626DF1" w:rsidP="00626DF1">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λ</m:t>
                  </m:r>
                </m:e>
              </m:d>
            </m:e>
          </m:func>
          <m:r>
            <w:rPr>
              <w:rFonts w:ascii="Cambria Math" w:hAnsi="Cambria Math"/>
            </w:rPr>
            <m:t>={-3, -2.9, -2.8, …, 1.8, 1.9, 2.0}</m:t>
          </m:r>
        </m:oMath>
      </m:oMathPara>
    </w:p>
    <w:p w:rsidR="00626DF1" w:rsidRPr="00AA686B" w:rsidRDefault="00626DF1" w:rsidP="00626DF1">
      <w:pPr>
        <w:rPr>
          <w:rFonts w:eastAsiaTheme="minorEastAsia"/>
        </w:rPr>
      </w:pPr>
      <w:r>
        <w:rPr>
          <w:rFonts w:eastAsiaTheme="minorEastAsia"/>
        </w:rPr>
        <w:t xml:space="preserve">The the </w:t>
      </w:r>
      <m:oMath>
        <m:r>
          <w:rPr>
            <w:rFonts w:ascii="Cambria Math" w:eastAsiaTheme="minorEastAsia" w:hAnsi="Cambria Math"/>
          </w:rPr>
          <m:t>λ</m:t>
        </m:r>
      </m:oMath>
      <w:r>
        <w:rPr>
          <w:rFonts w:eastAsiaTheme="minorEastAsia"/>
        </w:rPr>
        <w:t xml:space="preserve"> itself changes from </w:t>
      </w:r>
      <m:oMath>
        <m:r>
          <w:rPr>
            <w:rFonts w:ascii="Cambria Math" w:eastAsiaTheme="minorEastAsia" w:hAnsi="Cambria Math"/>
          </w:rPr>
          <m:t>0.0</m:t>
        </m:r>
        <m:r>
          <w:rPr>
            <w:rFonts w:ascii="Cambria Math" w:eastAsiaTheme="minorEastAsia" w:hAnsi="Cambria Math"/>
          </w:rPr>
          <m:t>0</m:t>
        </m:r>
        <m:r>
          <w:rPr>
            <w:rFonts w:ascii="Cambria Math" w:eastAsiaTheme="minorEastAsia" w:hAnsi="Cambria Math"/>
          </w:rPr>
          <m:t>1</m:t>
        </m:r>
      </m:oMath>
      <w:r>
        <w:rPr>
          <w:rFonts w:eastAsiaTheme="minorEastAsia"/>
        </w:rPr>
        <w:t xml:space="preserve"> to 100</w:t>
      </w:r>
      <w:r>
        <w:rPr>
          <w:rFonts w:eastAsiaTheme="minorEastAsia"/>
        </w:rPr>
        <w:t>.</w:t>
      </w:r>
    </w:p>
    <w:p w:rsidR="00626DF1" w:rsidRDefault="00626DF1" w:rsidP="00C406CE"/>
    <w:p w:rsidR="00C406CE" w:rsidRDefault="00C406CE" w:rsidP="00626DF1">
      <w:pPr>
        <w:jc w:val="center"/>
      </w:pPr>
      <w:r>
        <w:rPr>
          <w:noProof/>
        </w:rPr>
        <w:drawing>
          <wp:inline distT="0" distB="0" distL="0" distR="0">
            <wp:extent cx="3448050" cy="2586038"/>
            <wp:effectExtent l="0" t="0" r="0" b="5080"/>
            <wp:docPr id="8" name="Picture 8" descr="C:\Users\wang-grad\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grad\Download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2121" cy="2589091"/>
                    </a:xfrm>
                    <a:prstGeom prst="rect">
                      <a:avLst/>
                    </a:prstGeom>
                    <a:noFill/>
                    <a:ln>
                      <a:noFill/>
                    </a:ln>
                  </pic:spPr>
                </pic:pic>
              </a:graphicData>
            </a:graphic>
          </wp:inline>
        </w:drawing>
      </w:r>
    </w:p>
    <w:p w:rsidR="00E25759" w:rsidRDefault="00E25759" w:rsidP="003F4A92">
      <w:pPr>
        <w:jc w:val="center"/>
        <w:rPr>
          <w:rFonts w:eastAsiaTheme="minorEastAsia"/>
        </w:rPr>
      </w:pPr>
      <w:r>
        <w:rPr>
          <w:rFonts w:eastAsiaTheme="minorEastAsia"/>
        </w:rPr>
        <w:t>Figure 4</w:t>
      </w:r>
      <w:r>
        <w:rPr>
          <w:rFonts w:eastAsiaTheme="minorEastAsia"/>
        </w:rPr>
        <w:t xml:space="preserve">. Sum of Squared Error of </w:t>
      </w:r>
      <w:r>
        <w:rPr>
          <w:rFonts w:eastAsiaTheme="minorEastAsia"/>
        </w:rPr>
        <w:t xml:space="preserve">Cross-Validation on Training </w:t>
      </w:r>
      <w:r>
        <w:rPr>
          <w:rFonts w:eastAsiaTheme="minorEastAsia"/>
        </w:rPr>
        <w:t xml:space="preserve">Data vs. </w:t>
      </w:r>
      <w:r>
        <w:rPr>
          <w:rFonts w:eastAsiaTheme="minorEastAsia"/>
        </w:rPr>
        <w:t>Log (</w:t>
      </w:r>
      <w:r>
        <w:rPr>
          <w:rFonts w:eastAsiaTheme="minorEastAsia"/>
        </w:rPr>
        <w:t>Regularization Coefficient)</w:t>
      </w:r>
    </w:p>
    <w:p w:rsidR="003F4A92" w:rsidRPr="003F4A92" w:rsidRDefault="003F4A92" w:rsidP="003F4A92">
      <w:pPr>
        <w:jc w:val="center"/>
        <w:rPr>
          <w:rFonts w:eastAsiaTheme="minorEastAsia"/>
        </w:rPr>
      </w:pPr>
    </w:p>
    <w:p w:rsidR="00626DF1" w:rsidRPr="008F0EF8" w:rsidRDefault="008F0EF8" w:rsidP="008F0EF8">
      <w:pPr>
        <w:jc w:val="both"/>
        <w:rPr>
          <w:b/>
          <w:bCs/>
        </w:rPr>
      </w:pPr>
      <w:r>
        <w:rPr>
          <w:b/>
          <w:bCs/>
        </w:rPr>
        <w:t>Discussion</w:t>
      </w:r>
    </w:p>
    <w:p w:rsidR="00626DF1" w:rsidRPr="00D431D5" w:rsidRDefault="00626DF1" w:rsidP="00D431D5">
      <w:pPr>
        <w:pStyle w:val="ListParagraph"/>
        <w:numPr>
          <w:ilvl w:val="0"/>
          <w:numId w:val="26"/>
        </w:numPr>
        <w:jc w:val="both"/>
      </w:pPr>
      <w:r>
        <w:t xml:space="preserve">Regarding </w:t>
      </w:r>
      <w:r w:rsidR="00D431D5">
        <w:t>choosing</w:t>
      </w:r>
      <m:oMath>
        <m:r>
          <w:rPr>
            <w:rFonts w:ascii="Cambria Math" w:hAnsi="Cambria Math"/>
          </w:rPr>
          <m:t xml:space="preserve"> </m:t>
        </m:r>
        <m:r>
          <w:rPr>
            <w:rFonts w:ascii="Cambria Math" w:hAnsi="Cambria Math"/>
          </w:rPr>
          <m:t>λ</m:t>
        </m:r>
      </m:oMath>
      <w:r>
        <w:rPr>
          <w:rFonts w:eastAsiaTheme="minorEastAsia"/>
        </w:rPr>
        <w:t xml:space="preserve">, </w:t>
      </w:r>
      <w:r w:rsidR="00D431D5">
        <w:rPr>
          <w:rFonts w:eastAsiaTheme="minorEastAsia"/>
        </w:rPr>
        <w:t xml:space="preserve">generally speaking, </w:t>
      </w:r>
      <w:r>
        <w:rPr>
          <w:rFonts w:eastAsiaTheme="minorEastAsia"/>
        </w:rPr>
        <w:t xml:space="preserve">I would say the highest possible value </w:t>
      </w:r>
      <w:r w:rsidR="00D431D5">
        <w:rPr>
          <w:rFonts w:eastAsiaTheme="minorEastAsia"/>
        </w:rPr>
        <w:t>for</w:t>
      </w:r>
      <m:oMath>
        <m:r>
          <w:rPr>
            <w:rFonts w:ascii="Cambria Math" w:eastAsiaTheme="minorEastAsia" w:hAnsi="Cambria Math"/>
          </w:rPr>
          <m:t xml:space="preserve"> </m:t>
        </m:r>
        <m:r>
          <w:rPr>
            <w:rFonts w:ascii="Cambria Math" w:eastAsiaTheme="minorEastAsia" w:hAnsi="Cambria Math"/>
          </w:rPr>
          <m:t>λ</m:t>
        </m:r>
      </m:oMath>
      <w:r>
        <w:rPr>
          <w:rFonts w:eastAsiaTheme="minorEastAsia"/>
        </w:rPr>
        <w:t>, which provides the simplest weight vector, and at the same time, does not generate high errors should be picked. In this case</w:t>
      </w:r>
      <w:r w:rsidR="00701FA4">
        <w:rPr>
          <w:rFonts w:eastAsiaTheme="minorEastAsia"/>
        </w:rPr>
        <w:t xml:space="preserve">, </w:t>
      </w:r>
      <m:oMath>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-0.5</m:t>
            </m:r>
          </m:sup>
        </m:sSup>
        <m:r>
          <w:rPr>
            <w:rFonts w:ascii="Cambria Math" w:eastAsiaTheme="minorEastAsia" w:hAnsi="Cambria Math"/>
            <w:highlight w:val="yellow"/>
          </w:rPr>
          <m:t>=0.32</m:t>
        </m:r>
      </m:oMath>
      <w:r w:rsidR="00701FA4">
        <w:rPr>
          <w:rFonts w:eastAsiaTheme="minorEastAsia"/>
        </w:rPr>
        <w:t xml:space="preserve"> </w:t>
      </w:r>
      <w:r w:rsidR="00D431D5">
        <w:rPr>
          <w:rFonts w:eastAsiaTheme="minorEastAsia"/>
        </w:rPr>
        <w:t xml:space="preserve">might be reasonable to choose since it is almost the threshold that after that, SSE starts to increase with the increase </w:t>
      </w:r>
      <w:proofErr w:type="gramStart"/>
      <w:r w:rsidR="00D431D5">
        <w:rPr>
          <w:rFonts w:eastAsiaTheme="minorEastAsia"/>
        </w:rPr>
        <w:t xml:space="preserve">of </w:t>
      </w:r>
      <w:proofErr w:type="gramEnd"/>
      <m:oMath>
        <m:r>
          <w:rPr>
            <w:rFonts w:ascii="Cambria Math" w:eastAsiaTheme="minorEastAsia" w:hAnsi="Cambria Math"/>
          </w:rPr>
          <m:t>λ</m:t>
        </m:r>
      </m:oMath>
      <w:r w:rsidR="00D431D5">
        <w:rPr>
          <w:rFonts w:eastAsiaTheme="minorEastAsia"/>
        </w:rPr>
        <w:t>.</w:t>
      </w:r>
    </w:p>
    <w:p w:rsidR="00D431D5" w:rsidRPr="00701FA4" w:rsidRDefault="00D431D5" w:rsidP="00D431D5">
      <w:pPr>
        <w:pStyle w:val="ListParagraph"/>
        <w:jc w:val="both"/>
      </w:pPr>
    </w:p>
    <w:p w:rsidR="008F0EF8" w:rsidRDefault="00701FA4" w:rsidP="003F4A92">
      <w:pPr>
        <w:pStyle w:val="ListParagraph"/>
        <w:numPr>
          <w:ilvl w:val="0"/>
          <w:numId w:val="26"/>
        </w:numPr>
        <w:jc w:val="both"/>
      </w:pPr>
      <w:r>
        <w:rPr>
          <w:rFonts w:eastAsiaTheme="minorEastAsia"/>
        </w:rPr>
        <w:t xml:space="preserve">The SSE with the cross validation is a little bit </w:t>
      </w:r>
      <w:r w:rsidR="003F4A92">
        <w:rPr>
          <w:rFonts w:eastAsiaTheme="minorEastAsia"/>
        </w:rPr>
        <w:t>larger</w:t>
      </w:r>
      <w:r>
        <w:rPr>
          <w:rFonts w:eastAsiaTheme="minorEastAsia"/>
        </w:rPr>
        <w:t xml:space="preserve"> than the SSE of the training data itself. The main reason of this phenomenon is that, in the case of cross-validation, we are choosing smaller sample to learn the model, and use that small sample, to validate</w:t>
      </w:r>
      <w:r w:rsidR="003F4A92">
        <w:rPr>
          <w:rFonts w:eastAsiaTheme="minorEastAsia"/>
        </w:rPr>
        <w:t xml:space="preserve"> the other part of the dataset. Then it rotates, but in each round, there is no data mutual between training part and validating part. </w:t>
      </w:r>
      <w:r>
        <w:rPr>
          <w:rFonts w:eastAsiaTheme="minorEastAsia"/>
        </w:rPr>
        <w:t xml:space="preserve">On the other hand, the SSE coming </w:t>
      </w:r>
      <w:r w:rsidR="003F4A92">
        <w:rPr>
          <w:rFonts w:eastAsiaTheme="minorEastAsia"/>
        </w:rPr>
        <w:t>from training data</w:t>
      </w:r>
      <w:r>
        <w:rPr>
          <w:rFonts w:eastAsiaTheme="minorEastAsia"/>
        </w:rPr>
        <w:t>set is calculated based on the model that is learnt using the same dataset. Therefore, it does make sense to expect higher SSE for cross-classification.</w:t>
      </w:r>
    </w:p>
    <w:p w:rsidR="008F0EF8" w:rsidRPr="00701FA4" w:rsidRDefault="008F0EF8" w:rsidP="008F0EF8">
      <w:pPr>
        <w:pStyle w:val="ListParagraph"/>
        <w:jc w:val="both"/>
      </w:pPr>
    </w:p>
    <w:p w:rsidR="005E56EF" w:rsidRDefault="00A928C4" w:rsidP="00A55DC6">
      <w:pPr>
        <w:pStyle w:val="ListParagraph"/>
        <w:numPr>
          <w:ilvl w:val="0"/>
          <w:numId w:val="26"/>
        </w:numPr>
        <w:jc w:val="both"/>
      </w:pPr>
      <w:r>
        <w:t>The shape of the curve is close to the SSE on the training data, since the model is being both learned and validated by the same dataset</w:t>
      </w:r>
      <w:r w:rsidR="003F4A92">
        <w:t>, not with two different datasets</w:t>
      </w:r>
      <w:r>
        <w:t>.</w:t>
      </w:r>
      <w:r w:rsidR="005E56EF">
        <w:br w:type="page"/>
      </w:r>
    </w:p>
    <w:p w:rsidR="00701FA4" w:rsidRPr="00F107FD" w:rsidRDefault="005E56EF" w:rsidP="00F107FD">
      <w:pPr>
        <w:jc w:val="both"/>
        <w:rPr>
          <w:b/>
          <w:bCs/>
        </w:rPr>
      </w:pPr>
      <w:r w:rsidRPr="00F107FD">
        <w:rPr>
          <w:b/>
          <w:bCs/>
        </w:rPr>
        <w:lastRenderedPageBreak/>
        <w:t xml:space="preserve">Notes on </w:t>
      </w:r>
      <w:r w:rsidR="00F107FD" w:rsidRPr="00F107FD">
        <w:rPr>
          <w:b/>
          <w:bCs/>
        </w:rPr>
        <w:t>running</w:t>
      </w:r>
      <w:r w:rsidRPr="00F107FD">
        <w:rPr>
          <w:b/>
          <w:bCs/>
        </w:rPr>
        <w:t xml:space="preserve"> the code:</w:t>
      </w:r>
    </w:p>
    <w:p w:rsidR="005E56EF" w:rsidRDefault="005E56EF" w:rsidP="005E56EF">
      <w:pPr>
        <w:pStyle w:val="ListParagraph"/>
        <w:jc w:val="both"/>
      </w:pPr>
    </w:p>
    <w:p w:rsidR="005E56EF" w:rsidRDefault="005E56EF" w:rsidP="005E56EF">
      <w:pPr>
        <w:pStyle w:val="ListParagraph"/>
        <w:numPr>
          <w:ilvl w:val="0"/>
          <w:numId w:val="27"/>
        </w:numPr>
        <w:jc w:val="both"/>
      </w:pPr>
      <w:r>
        <w:t xml:space="preserve">Main code is </w:t>
      </w:r>
      <w:r w:rsidR="004C584C">
        <w:t>“</w:t>
      </w:r>
      <w:proofErr w:type="spellStart"/>
      <w:r>
        <w:t>Main.m</w:t>
      </w:r>
      <w:proofErr w:type="spellEnd"/>
      <w:r>
        <w:t>,</w:t>
      </w:r>
      <w:r w:rsidR="004C584C">
        <w:t>”</w:t>
      </w:r>
      <w:r>
        <w:t xml:space="preserve"> and the others are functions.</w:t>
      </w:r>
    </w:p>
    <w:p w:rsidR="005E56EF" w:rsidRDefault="005E56EF" w:rsidP="005E56EF">
      <w:pPr>
        <w:pStyle w:val="ListParagraph"/>
        <w:numPr>
          <w:ilvl w:val="0"/>
          <w:numId w:val="27"/>
        </w:numPr>
        <w:jc w:val="both"/>
      </w:pPr>
      <w:r>
        <w:t>Run the “Initialization” part in the main code</w:t>
      </w:r>
      <w:r w:rsidR="004C584C">
        <w:t xml:space="preserve"> first</w:t>
      </w:r>
    </w:p>
    <w:p w:rsidR="005E56EF" w:rsidRDefault="005E56EF" w:rsidP="005E56EF">
      <w:pPr>
        <w:pStyle w:val="ListParagraph"/>
        <w:numPr>
          <w:ilvl w:val="0"/>
          <w:numId w:val="27"/>
        </w:numPr>
        <w:jc w:val="both"/>
      </w:pPr>
      <w:r>
        <w:t xml:space="preserve">Run the </w:t>
      </w:r>
      <w:r w:rsidR="004C584C">
        <w:t>code</w:t>
      </w:r>
      <w:r>
        <w:t xml:space="preserve"> associated to each part of the assignment </w:t>
      </w:r>
      <w:r w:rsidR="004C584C">
        <w:t xml:space="preserve">separately </w:t>
      </w:r>
      <w:r>
        <w:t>to get th</w:t>
      </w:r>
      <w:r w:rsidR="004C584C">
        <w:t>e results and graphs.</w:t>
      </w:r>
    </w:p>
    <w:p w:rsidR="00F107FD" w:rsidRPr="00626DF1" w:rsidRDefault="00F107FD" w:rsidP="005E56EF">
      <w:pPr>
        <w:pStyle w:val="ListParagraph"/>
        <w:numPr>
          <w:ilvl w:val="0"/>
          <w:numId w:val="27"/>
        </w:numPr>
        <w:jc w:val="both"/>
      </w:pPr>
      <w:r>
        <w:t>Run the plot commands one by one.</w:t>
      </w:r>
      <w:bookmarkStart w:id="0" w:name="_GoBack"/>
      <w:bookmarkEnd w:id="0"/>
    </w:p>
    <w:sectPr w:rsidR="00F107FD" w:rsidRPr="00626DF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212" w:rsidRDefault="003F5212" w:rsidP="005D5A18">
      <w:pPr>
        <w:spacing w:after="0" w:line="240" w:lineRule="auto"/>
      </w:pPr>
      <w:r>
        <w:separator/>
      </w:r>
    </w:p>
  </w:endnote>
  <w:endnote w:type="continuationSeparator" w:id="0">
    <w:p w:rsidR="003F5212" w:rsidRDefault="003F5212" w:rsidP="005D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12208"/>
      <w:docPartObj>
        <w:docPartGallery w:val="Page Numbers (Bottom of Page)"/>
        <w:docPartUnique/>
      </w:docPartObj>
    </w:sdtPr>
    <w:sdtEndPr>
      <w:rPr>
        <w:noProof/>
      </w:rPr>
    </w:sdtEndPr>
    <w:sdtContent>
      <w:p w:rsidR="00E11D2D" w:rsidRDefault="00E11D2D">
        <w:pPr>
          <w:pStyle w:val="Footer"/>
          <w:jc w:val="center"/>
        </w:pPr>
        <w:r>
          <w:fldChar w:fldCharType="begin"/>
        </w:r>
        <w:r>
          <w:instrText xml:space="preserve"> PAGE   \* MERGEFORMAT </w:instrText>
        </w:r>
        <w:r>
          <w:fldChar w:fldCharType="separate"/>
        </w:r>
        <w:r w:rsidR="004C584C">
          <w:rPr>
            <w:noProof/>
          </w:rPr>
          <w:t>4</w:t>
        </w:r>
        <w:r>
          <w:rPr>
            <w:noProof/>
          </w:rPr>
          <w:fldChar w:fldCharType="end"/>
        </w:r>
      </w:p>
    </w:sdtContent>
  </w:sdt>
  <w:p w:rsidR="00E11D2D" w:rsidRDefault="00E11D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212" w:rsidRDefault="003F5212" w:rsidP="005D5A18">
      <w:pPr>
        <w:spacing w:after="0" w:line="240" w:lineRule="auto"/>
      </w:pPr>
      <w:r>
        <w:separator/>
      </w:r>
    </w:p>
  </w:footnote>
  <w:footnote w:type="continuationSeparator" w:id="0">
    <w:p w:rsidR="003F5212" w:rsidRDefault="003F5212" w:rsidP="005D5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D2D" w:rsidRDefault="00E11D2D" w:rsidP="00E11D2D">
    <w:pPr>
      <w:pStyle w:val="Header"/>
      <w:bidi/>
      <w:rPr>
        <w:b/>
        <w:bCs/>
      </w:rPr>
    </w:pPr>
    <w:r w:rsidRPr="004B5C93">
      <w:rPr>
        <w:b/>
        <w:bCs/>
      </w:rPr>
      <w:t>CS533</w:t>
    </w:r>
    <w:r>
      <w:rPr>
        <w:b/>
        <w:bCs/>
      </w:rPr>
      <w:t xml:space="preserve"> Intelligent Agents and Decision Making</w:t>
    </w:r>
  </w:p>
  <w:p w:rsidR="00E11D2D" w:rsidRPr="004B5C93" w:rsidRDefault="00E11D2D" w:rsidP="00E11D2D">
    <w:pPr>
      <w:pStyle w:val="Header"/>
      <w:bidi/>
      <w:rPr>
        <w:b/>
        <w:bCs/>
      </w:rPr>
    </w:pPr>
    <w:r>
      <w:rPr>
        <w:b/>
        <w:bCs/>
      </w:rPr>
      <w:t>10/10/15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82F"/>
    <w:multiLevelType w:val="hybridMultilevel"/>
    <w:tmpl w:val="63C4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F11E7"/>
    <w:multiLevelType w:val="hybridMultilevel"/>
    <w:tmpl w:val="9C806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C3643"/>
    <w:multiLevelType w:val="hybridMultilevel"/>
    <w:tmpl w:val="D0EC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0A78"/>
    <w:multiLevelType w:val="hybridMultilevel"/>
    <w:tmpl w:val="C0A8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250B1"/>
    <w:multiLevelType w:val="hybridMultilevel"/>
    <w:tmpl w:val="AB7EA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D1BFC"/>
    <w:multiLevelType w:val="hybridMultilevel"/>
    <w:tmpl w:val="9E2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51DDF"/>
    <w:multiLevelType w:val="hybridMultilevel"/>
    <w:tmpl w:val="30603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84347"/>
    <w:multiLevelType w:val="hybridMultilevel"/>
    <w:tmpl w:val="9E8C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01FEA"/>
    <w:multiLevelType w:val="hybridMultilevel"/>
    <w:tmpl w:val="1C2E51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D378C6"/>
    <w:multiLevelType w:val="hybridMultilevel"/>
    <w:tmpl w:val="1136AAEA"/>
    <w:lvl w:ilvl="0" w:tplc="C2224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A3358B"/>
    <w:multiLevelType w:val="hybridMultilevel"/>
    <w:tmpl w:val="93FCC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F49C8"/>
    <w:multiLevelType w:val="multilevel"/>
    <w:tmpl w:val="7ED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0570261"/>
    <w:multiLevelType w:val="hybridMultilevel"/>
    <w:tmpl w:val="5160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275CCC"/>
    <w:multiLevelType w:val="hybridMultilevel"/>
    <w:tmpl w:val="7D2A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6147E"/>
    <w:multiLevelType w:val="hybridMultilevel"/>
    <w:tmpl w:val="B67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249EE"/>
    <w:multiLevelType w:val="hybridMultilevel"/>
    <w:tmpl w:val="6CA4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417FC"/>
    <w:multiLevelType w:val="hybridMultilevel"/>
    <w:tmpl w:val="B394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D06E5B"/>
    <w:multiLevelType w:val="hybridMultilevel"/>
    <w:tmpl w:val="C314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AC4A40"/>
    <w:multiLevelType w:val="hybridMultilevel"/>
    <w:tmpl w:val="927AB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73AF4"/>
    <w:multiLevelType w:val="hybridMultilevel"/>
    <w:tmpl w:val="E1562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C5FFF"/>
    <w:multiLevelType w:val="hybridMultilevel"/>
    <w:tmpl w:val="0154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152CF7"/>
    <w:multiLevelType w:val="hybridMultilevel"/>
    <w:tmpl w:val="0F744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C1358"/>
    <w:multiLevelType w:val="hybridMultilevel"/>
    <w:tmpl w:val="91F013B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082244"/>
    <w:multiLevelType w:val="hybridMultilevel"/>
    <w:tmpl w:val="85B8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824E8"/>
    <w:multiLevelType w:val="hybridMultilevel"/>
    <w:tmpl w:val="23C6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9C062D"/>
    <w:multiLevelType w:val="hybridMultilevel"/>
    <w:tmpl w:val="4F2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91BB5"/>
    <w:multiLevelType w:val="hybridMultilevel"/>
    <w:tmpl w:val="1ADCD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6"/>
  </w:num>
  <w:num w:numId="3">
    <w:abstractNumId w:val="0"/>
  </w:num>
  <w:num w:numId="4">
    <w:abstractNumId w:val="6"/>
  </w:num>
  <w:num w:numId="5">
    <w:abstractNumId w:val="4"/>
  </w:num>
  <w:num w:numId="6">
    <w:abstractNumId w:val="16"/>
  </w:num>
  <w:num w:numId="7">
    <w:abstractNumId w:val="12"/>
  </w:num>
  <w:num w:numId="8">
    <w:abstractNumId w:val="2"/>
  </w:num>
  <w:num w:numId="9">
    <w:abstractNumId w:val="20"/>
  </w:num>
  <w:num w:numId="10">
    <w:abstractNumId w:val="5"/>
  </w:num>
  <w:num w:numId="11">
    <w:abstractNumId w:val="14"/>
  </w:num>
  <w:num w:numId="12">
    <w:abstractNumId w:val="8"/>
  </w:num>
  <w:num w:numId="13">
    <w:abstractNumId w:val="17"/>
  </w:num>
  <w:num w:numId="14">
    <w:abstractNumId w:val="11"/>
    <w:lvlOverride w:ilvl="0">
      <w:lvl w:ilvl="0">
        <w:numFmt w:val="bullet"/>
        <w:lvlText w:val=""/>
        <w:lvlJc w:val="left"/>
        <w:pPr>
          <w:tabs>
            <w:tab w:val="num" w:pos="720"/>
          </w:tabs>
          <w:ind w:left="720" w:hanging="360"/>
        </w:pPr>
        <w:rPr>
          <w:rFonts w:ascii="Symbol" w:hAnsi="Symbol" w:hint="default"/>
          <w:sz w:val="20"/>
        </w:rPr>
      </w:lvl>
    </w:lvlOverride>
  </w:num>
  <w:num w:numId="15">
    <w:abstractNumId w:val="22"/>
  </w:num>
  <w:num w:numId="16">
    <w:abstractNumId w:val="19"/>
  </w:num>
  <w:num w:numId="17">
    <w:abstractNumId w:val="1"/>
  </w:num>
  <w:num w:numId="18">
    <w:abstractNumId w:val="25"/>
  </w:num>
  <w:num w:numId="19">
    <w:abstractNumId w:val="18"/>
  </w:num>
  <w:num w:numId="20">
    <w:abstractNumId w:val="3"/>
  </w:num>
  <w:num w:numId="21">
    <w:abstractNumId w:val="24"/>
  </w:num>
  <w:num w:numId="22">
    <w:abstractNumId w:val="21"/>
  </w:num>
  <w:num w:numId="23">
    <w:abstractNumId w:val="10"/>
  </w:num>
  <w:num w:numId="24">
    <w:abstractNumId w:val="15"/>
  </w:num>
  <w:num w:numId="25">
    <w:abstractNumId w:val="13"/>
  </w:num>
  <w:num w:numId="26">
    <w:abstractNumId w:val="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F7"/>
    <w:rsid w:val="0001147A"/>
    <w:rsid w:val="0001276B"/>
    <w:rsid w:val="000152EB"/>
    <w:rsid w:val="0002644B"/>
    <w:rsid w:val="00054BAF"/>
    <w:rsid w:val="000577FF"/>
    <w:rsid w:val="000620CF"/>
    <w:rsid w:val="00064A4C"/>
    <w:rsid w:val="0007464F"/>
    <w:rsid w:val="000972D7"/>
    <w:rsid w:val="000A71F7"/>
    <w:rsid w:val="000A7D97"/>
    <w:rsid w:val="000D1915"/>
    <w:rsid w:val="000D539C"/>
    <w:rsid w:val="000D5D42"/>
    <w:rsid w:val="001021AD"/>
    <w:rsid w:val="00110FE9"/>
    <w:rsid w:val="001139EE"/>
    <w:rsid w:val="00114ACE"/>
    <w:rsid w:val="001241C7"/>
    <w:rsid w:val="0013087D"/>
    <w:rsid w:val="00143DF8"/>
    <w:rsid w:val="0017017B"/>
    <w:rsid w:val="00173CDD"/>
    <w:rsid w:val="00177D14"/>
    <w:rsid w:val="001874E4"/>
    <w:rsid w:val="001949BC"/>
    <w:rsid w:val="001969CE"/>
    <w:rsid w:val="001B6C5A"/>
    <w:rsid w:val="001C1224"/>
    <w:rsid w:val="001D1428"/>
    <w:rsid w:val="001D3DC5"/>
    <w:rsid w:val="001D7619"/>
    <w:rsid w:val="001E35EC"/>
    <w:rsid w:val="001E382C"/>
    <w:rsid w:val="001F7471"/>
    <w:rsid w:val="00201C86"/>
    <w:rsid w:val="002046DC"/>
    <w:rsid w:val="00205E33"/>
    <w:rsid w:val="00215D85"/>
    <w:rsid w:val="0021700E"/>
    <w:rsid w:val="002543E4"/>
    <w:rsid w:val="0025778E"/>
    <w:rsid w:val="00257D3B"/>
    <w:rsid w:val="0027731D"/>
    <w:rsid w:val="002A3877"/>
    <w:rsid w:val="002B0E73"/>
    <w:rsid w:val="002B2AA1"/>
    <w:rsid w:val="002E1D02"/>
    <w:rsid w:val="00322F0D"/>
    <w:rsid w:val="003463A8"/>
    <w:rsid w:val="00373D55"/>
    <w:rsid w:val="00375E88"/>
    <w:rsid w:val="0037750D"/>
    <w:rsid w:val="003803C6"/>
    <w:rsid w:val="003A789B"/>
    <w:rsid w:val="003B0010"/>
    <w:rsid w:val="003C11A3"/>
    <w:rsid w:val="003E532C"/>
    <w:rsid w:val="003F4A92"/>
    <w:rsid w:val="003F5212"/>
    <w:rsid w:val="00403725"/>
    <w:rsid w:val="0041132B"/>
    <w:rsid w:val="004636A7"/>
    <w:rsid w:val="00480433"/>
    <w:rsid w:val="00484842"/>
    <w:rsid w:val="004A124B"/>
    <w:rsid w:val="004B5C93"/>
    <w:rsid w:val="004B5FC6"/>
    <w:rsid w:val="004B7AB7"/>
    <w:rsid w:val="004C584C"/>
    <w:rsid w:val="004D1552"/>
    <w:rsid w:val="004D2401"/>
    <w:rsid w:val="004E5A86"/>
    <w:rsid w:val="00501308"/>
    <w:rsid w:val="00510A8D"/>
    <w:rsid w:val="00527157"/>
    <w:rsid w:val="00531A03"/>
    <w:rsid w:val="00552DD4"/>
    <w:rsid w:val="00574874"/>
    <w:rsid w:val="00582996"/>
    <w:rsid w:val="005913A3"/>
    <w:rsid w:val="005B1578"/>
    <w:rsid w:val="005B2232"/>
    <w:rsid w:val="005B2B06"/>
    <w:rsid w:val="005C1098"/>
    <w:rsid w:val="005C228F"/>
    <w:rsid w:val="005C3F8F"/>
    <w:rsid w:val="005D5A18"/>
    <w:rsid w:val="005E56EF"/>
    <w:rsid w:val="005F3641"/>
    <w:rsid w:val="00600301"/>
    <w:rsid w:val="006035AE"/>
    <w:rsid w:val="006055A7"/>
    <w:rsid w:val="00616E8F"/>
    <w:rsid w:val="006263F5"/>
    <w:rsid w:val="00626DF1"/>
    <w:rsid w:val="00631FB8"/>
    <w:rsid w:val="00636A73"/>
    <w:rsid w:val="00643452"/>
    <w:rsid w:val="00654629"/>
    <w:rsid w:val="00677D19"/>
    <w:rsid w:val="006E44BC"/>
    <w:rsid w:val="006F3E42"/>
    <w:rsid w:val="00701FA4"/>
    <w:rsid w:val="00720E62"/>
    <w:rsid w:val="00723359"/>
    <w:rsid w:val="0073183C"/>
    <w:rsid w:val="007410B4"/>
    <w:rsid w:val="00753A46"/>
    <w:rsid w:val="00773F25"/>
    <w:rsid w:val="00775F5B"/>
    <w:rsid w:val="007972AE"/>
    <w:rsid w:val="007A1758"/>
    <w:rsid w:val="007A48B4"/>
    <w:rsid w:val="007A4ED1"/>
    <w:rsid w:val="007C672C"/>
    <w:rsid w:val="007F53A2"/>
    <w:rsid w:val="008136A9"/>
    <w:rsid w:val="00814A98"/>
    <w:rsid w:val="00830C43"/>
    <w:rsid w:val="00834551"/>
    <w:rsid w:val="0086115F"/>
    <w:rsid w:val="00865099"/>
    <w:rsid w:val="00883EDB"/>
    <w:rsid w:val="008A1621"/>
    <w:rsid w:val="008B509D"/>
    <w:rsid w:val="008C6B0A"/>
    <w:rsid w:val="008D550B"/>
    <w:rsid w:val="008F0EF8"/>
    <w:rsid w:val="008F13E2"/>
    <w:rsid w:val="00905067"/>
    <w:rsid w:val="00905411"/>
    <w:rsid w:val="00917DE9"/>
    <w:rsid w:val="00926F05"/>
    <w:rsid w:val="00940E9A"/>
    <w:rsid w:val="009646A5"/>
    <w:rsid w:val="0096649B"/>
    <w:rsid w:val="00977B9C"/>
    <w:rsid w:val="0099204B"/>
    <w:rsid w:val="009A6EB2"/>
    <w:rsid w:val="009C04E5"/>
    <w:rsid w:val="009F0717"/>
    <w:rsid w:val="009F78D3"/>
    <w:rsid w:val="00A141F3"/>
    <w:rsid w:val="00A25359"/>
    <w:rsid w:val="00A306AE"/>
    <w:rsid w:val="00A928C4"/>
    <w:rsid w:val="00AA2431"/>
    <w:rsid w:val="00AA686B"/>
    <w:rsid w:val="00AC24B3"/>
    <w:rsid w:val="00AD0E67"/>
    <w:rsid w:val="00AD7602"/>
    <w:rsid w:val="00AE0661"/>
    <w:rsid w:val="00AF1597"/>
    <w:rsid w:val="00AF4105"/>
    <w:rsid w:val="00B8129F"/>
    <w:rsid w:val="00B848CE"/>
    <w:rsid w:val="00BB187F"/>
    <w:rsid w:val="00BD4BC9"/>
    <w:rsid w:val="00BD6E91"/>
    <w:rsid w:val="00BE05EF"/>
    <w:rsid w:val="00C31CD0"/>
    <w:rsid w:val="00C3772F"/>
    <w:rsid w:val="00C406CE"/>
    <w:rsid w:val="00C468BF"/>
    <w:rsid w:val="00C975F1"/>
    <w:rsid w:val="00CB4CA5"/>
    <w:rsid w:val="00CB6452"/>
    <w:rsid w:val="00CC5194"/>
    <w:rsid w:val="00CE421D"/>
    <w:rsid w:val="00D07A89"/>
    <w:rsid w:val="00D227A2"/>
    <w:rsid w:val="00D275C1"/>
    <w:rsid w:val="00D34439"/>
    <w:rsid w:val="00D4265E"/>
    <w:rsid w:val="00D431D5"/>
    <w:rsid w:val="00D44C6C"/>
    <w:rsid w:val="00D54C2D"/>
    <w:rsid w:val="00D65898"/>
    <w:rsid w:val="00D845F7"/>
    <w:rsid w:val="00D97DCB"/>
    <w:rsid w:val="00DA7A80"/>
    <w:rsid w:val="00DB2489"/>
    <w:rsid w:val="00DB4F5E"/>
    <w:rsid w:val="00DC17A2"/>
    <w:rsid w:val="00DC6E0F"/>
    <w:rsid w:val="00DC6F41"/>
    <w:rsid w:val="00DD2A69"/>
    <w:rsid w:val="00DF4243"/>
    <w:rsid w:val="00E0360D"/>
    <w:rsid w:val="00E046F0"/>
    <w:rsid w:val="00E11D2D"/>
    <w:rsid w:val="00E20D8F"/>
    <w:rsid w:val="00E25759"/>
    <w:rsid w:val="00E32149"/>
    <w:rsid w:val="00E347BA"/>
    <w:rsid w:val="00E636A7"/>
    <w:rsid w:val="00E75D0F"/>
    <w:rsid w:val="00E821B5"/>
    <w:rsid w:val="00EB08A0"/>
    <w:rsid w:val="00EB46AE"/>
    <w:rsid w:val="00EB67FD"/>
    <w:rsid w:val="00EF3DC7"/>
    <w:rsid w:val="00F107FD"/>
    <w:rsid w:val="00F15454"/>
    <w:rsid w:val="00F23FCF"/>
    <w:rsid w:val="00F26195"/>
    <w:rsid w:val="00F41A63"/>
    <w:rsid w:val="00F5656A"/>
    <w:rsid w:val="00F621D4"/>
    <w:rsid w:val="00F71644"/>
    <w:rsid w:val="00F77978"/>
    <w:rsid w:val="00FB536C"/>
    <w:rsid w:val="00FB624E"/>
    <w:rsid w:val="00FC2AAC"/>
    <w:rsid w:val="00FD1082"/>
    <w:rsid w:val="00FD791D"/>
    <w:rsid w:val="00FF2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9365-401E-44DD-B6EA-61916BFA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2D"/>
    <w:pPr>
      <w:ind w:left="720"/>
      <w:contextualSpacing/>
    </w:pPr>
  </w:style>
  <w:style w:type="character" w:styleId="PlaceholderText">
    <w:name w:val="Placeholder Text"/>
    <w:basedOn w:val="DefaultParagraphFont"/>
    <w:uiPriority w:val="99"/>
    <w:semiHidden/>
    <w:rsid w:val="005D5A18"/>
    <w:rPr>
      <w:color w:val="808080"/>
    </w:rPr>
  </w:style>
  <w:style w:type="table" w:styleId="TableGrid">
    <w:name w:val="Table Grid"/>
    <w:basedOn w:val="TableNormal"/>
    <w:uiPriority w:val="39"/>
    <w:rsid w:val="005D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5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A18"/>
  </w:style>
  <w:style w:type="paragraph" w:styleId="Footer">
    <w:name w:val="footer"/>
    <w:basedOn w:val="Normal"/>
    <w:link w:val="FooterChar"/>
    <w:uiPriority w:val="99"/>
    <w:unhideWhenUsed/>
    <w:rsid w:val="005D5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A18"/>
  </w:style>
  <w:style w:type="character" w:customStyle="1" w:styleId="Heading1Char">
    <w:name w:val="Heading 1 Char"/>
    <w:basedOn w:val="DefaultParagraphFont"/>
    <w:link w:val="Heading1"/>
    <w:uiPriority w:val="9"/>
    <w:rsid w:val="00D227A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7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F1"/>
    <w:rPr>
      <w:rFonts w:ascii="Segoe UI" w:hAnsi="Segoe UI" w:cs="Segoe UI"/>
      <w:sz w:val="18"/>
      <w:szCs w:val="18"/>
    </w:rPr>
  </w:style>
  <w:style w:type="character" w:styleId="Hyperlink">
    <w:name w:val="Hyperlink"/>
    <w:basedOn w:val="DefaultParagraphFont"/>
    <w:uiPriority w:val="99"/>
    <w:unhideWhenUsed/>
    <w:rsid w:val="00723359"/>
    <w:rPr>
      <w:color w:val="0563C1" w:themeColor="hyperlink"/>
      <w:u w:val="single"/>
    </w:rPr>
  </w:style>
  <w:style w:type="character" w:customStyle="1" w:styleId="apple-style-span">
    <w:name w:val="apple-style-span"/>
    <w:basedOn w:val="DefaultParagraphFont"/>
    <w:rsid w:val="00D07A89"/>
  </w:style>
  <w:style w:type="character" w:customStyle="1" w:styleId="Heading2Char">
    <w:name w:val="Heading 2 Char"/>
    <w:basedOn w:val="DefaultParagraphFont"/>
    <w:link w:val="Heading2"/>
    <w:uiPriority w:val="9"/>
    <w:rsid w:val="004B5C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5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96"/>
    <w:rsid w:val="001C130A"/>
    <w:rsid w:val="00C97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3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9108B-98B0-490F-AB7F-0CD6A0C3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6</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wang-grad</dc:creator>
  <cp:keywords/>
  <dc:description/>
  <cp:lastModifiedBy>Alireza</cp:lastModifiedBy>
  <cp:revision>92</cp:revision>
  <cp:lastPrinted>2014-11-22T07:17:00Z</cp:lastPrinted>
  <dcterms:created xsi:type="dcterms:W3CDTF">2015-02-04T11:23:00Z</dcterms:created>
  <dcterms:modified xsi:type="dcterms:W3CDTF">2015-10-11T06:33:00Z</dcterms:modified>
</cp:coreProperties>
</file>