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ERS381 — Drafted Sections from Firmware / Bringup Material</w:t>
      </w:r>
    </w:p>
    <w:p>
      <w:pPr/>
      <w:r>
        <w:t>This document contains drafted text for the sections of the manuscript marked TODO. All content is derived directly from the firmware source code, bringup sketches, and internal documentation in the repository. Sections are numbered to match the manuscript. Grey [TODO] annotations mark items that still require photographs, measurements, or author confirmation.</w:t>
      </w:r>
    </w:p>
    <w:p/>
    <w:p>
      <w:pPr>
        <w:pStyle w:val="Heading1"/>
      </w:pPr>
      <w:r>
        <w:t>3. System Components</w:t>
      </w:r>
    </w:p>
    <w:p>
      <w:pPr>
        <w:pStyle w:val="Heading2"/>
      </w:pPr>
      <w:r>
        <w:t>3.1 Instrumentation Overview</w:t>
      </w:r>
    </w:p>
    <w:p>
      <w:pPr/>
      <w:r>
        <w:t>The monitoring platform produces six primary measurement streams per node: air temperature, relative humidity, photosynthetically active radiation (PAR), wind speed, wind direction, and battery voltage. Optional auxiliary channels support soil moisture and soil temperature via an ADS1015 ADC, and spectrally resolved light (18-channel, 400–855 nm) via an AS7343 sensor. All measurement streams are labelled with standard sensor types (AIR_TEMP, HUMIDITY, PAR, WIND_SPEED, WIND_DIR, SOIL_VWC, SOIL_TEMP, NDVI) and carry SI units derived at the mothership at the point of logging.</w:t>
      </w:r>
    </w:p>
    <w:p>
      <w:pPr>
        <w:pStyle w:val="Heading2"/>
      </w:pPr>
      <w:r>
        <w:t>3.2 Core Sensors</w:t>
      </w:r>
    </w:p>
    <w:p>
      <w:pPr/>
      <w:r>
        <w:t>Each node is equipped with the following core sensing elements: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Sensor</w:t>
            </w:r>
          </w:p>
        </w:tc>
        <w:tc>
          <w:tcPr>
            <w:tcW w:type="dxa" w:w="2160"/>
          </w:tcPr>
          <w:p>
            <w:r>
              <w:rPr>
                <w:b/>
              </w:rPr>
              <w:t>Interface</w:t>
            </w:r>
          </w:p>
        </w:tc>
        <w:tc>
          <w:tcPr>
            <w:tcW w:type="dxa" w:w="2160"/>
          </w:tcPr>
          <w:p>
            <w:r>
              <w:rPr>
                <w:b/>
              </w:rPr>
              <w:t>Notes</w:t>
            </w:r>
          </w:p>
        </w:tc>
      </w:tr>
      <w:tr>
        <w:tc>
          <w:tcPr>
            <w:tcW w:type="dxa" w:w="2160"/>
          </w:tcPr>
          <w:p>
            <w:r>
              <w:t>Air temperature</w:t>
            </w:r>
          </w:p>
        </w:tc>
        <w:tc>
          <w:tcPr>
            <w:tcW w:type="dxa" w:w="2160"/>
          </w:tcPr>
          <w:p>
            <w:r>
              <w:t>SHTC3 / SHT40</w:t>
            </w:r>
          </w:p>
        </w:tc>
        <w:tc>
          <w:tcPr>
            <w:tcW w:type="dxa" w:w="2160"/>
          </w:tcPr>
          <w:p>
            <w:r>
              <w:t>I²C via PCA9548A mux, ch 0</w:t>
            </w:r>
          </w:p>
        </w:tc>
        <w:tc>
          <w:tcPr>
            <w:tcW w:type="dxa" w:w="2160"/>
          </w:tcPr>
          <w:p>
            <w:r>
              <w:t>Bringup confirmed PASS (2026-04-24)</w:t>
            </w:r>
          </w:p>
        </w:tc>
      </w:tr>
      <w:tr>
        <w:tc>
          <w:tcPr>
            <w:tcW w:type="dxa" w:w="2160"/>
          </w:tcPr>
          <w:p>
            <w:r>
              <w:t>Relative humidity</w:t>
            </w:r>
          </w:p>
        </w:tc>
        <w:tc>
          <w:tcPr>
            <w:tcW w:type="dxa" w:w="2160"/>
          </w:tcPr>
          <w:p>
            <w:r>
              <w:t>SHTC3 / SHT40</w:t>
            </w:r>
          </w:p>
        </w:tc>
        <w:tc>
          <w:tcPr>
            <w:tcW w:type="dxa" w:w="2160"/>
          </w:tcPr>
          <w:p>
            <w:r>
              <w:t>I²C via PCA9548A mux, ch 0</w:t>
            </w:r>
          </w:p>
        </w:tc>
        <w:tc>
          <w:tcPr>
            <w:tcW w:type="dxa" w:w="2160"/>
          </w:tcPr>
          <w:p>
            <w:r>
              <w:t>Co-packaged with temperature</w:t>
            </w:r>
          </w:p>
        </w:tc>
      </w:tr>
      <w:tr>
        <w:tc>
          <w:tcPr>
            <w:tcW w:type="dxa" w:w="2160"/>
          </w:tcPr>
          <w:p>
            <w:r>
              <w:t>PAR (photosynthetically active radiation)</w:t>
            </w:r>
          </w:p>
        </w:tc>
        <w:tc>
          <w:tcPr>
            <w:tcW w:type="dxa" w:w="2160"/>
          </w:tcPr>
          <w:p>
            <w:r>
              <w:t>AS7343 spectral sensor</w:t>
            </w:r>
          </w:p>
        </w:tc>
        <w:tc>
          <w:tcPr>
            <w:tcW w:type="dxa" w:w="2160"/>
          </w:tcPr>
          <w:p>
            <w:r>
              <w:t>I²C via PCA9548A mux, ch 1</w:t>
            </w:r>
          </w:p>
        </w:tc>
        <w:tc>
          <w:tcPr>
            <w:tcW w:type="dxa" w:w="2160"/>
          </w:tcPr>
          <w:p>
            <w:r>
              <w:t>PAR proxy = sum of 10 channels 400–700 nm; calibration coefficient K required vs reference sensor. Unit replacement on order (V1 unit physically damaged).</w:t>
            </w:r>
          </w:p>
        </w:tc>
      </w:tr>
      <w:tr>
        <w:tc>
          <w:tcPr>
            <w:tcW w:type="dxa" w:w="2160"/>
          </w:tcPr>
          <w:p>
            <w:r>
              <w:t>Wind speed &amp; direction</w:t>
            </w:r>
          </w:p>
        </w:tc>
        <w:tc>
          <w:tcPr>
            <w:tcW w:type="dxa" w:w="2160"/>
          </w:tcPr>
          <w:p>
            <w:r>
              <w:t>Ultrasonic ToF (4-transducer, single-bounce)</w:t>
            </w:r>
          </w:p>
        </w:tc>
        <w:tc>
          <w:tcPr>
            <w:tcW w:type="dxa" w:w="2160"/>
          </w:tcPr>
          <w:p>
            <w:r>
              <w:t>Firmware PWM + hardware timer</w:t>
            </w:r>
          </w:p>
        </w:tc>
        <w:tc>
          <w:tcPr>
            <w:tcW w:type="dxa" w:w="2160"/>
          </w:tcPr>
          <w:p>
            <w:r>
              <w:t>Partially commissioned in V1 — feedthrough artefacts; V2 refinements planned.</w:t>
            </w:r>
          </w:p>
        </w:tc>
      </w:tr>
      <w:tr>
        <w:tc>
          <w:tcPr>
            <w:tcW w:type="dxa" w:w="2160"/>
          </w:tcPr>
          <w:p>
            <w:r>
              <w:t>Battery voltage</w:t>
            </w:r>
          </w:p>
        </w:tc>
        <w:tc>
          <w:tcPr>
            <w:tcW w:type="dxa" w:w="2160"/>
          </w:tcPr>
          <w:p>
            <w:r>
              <w:t>On-board ADC (GPIO 35)</w:t>
            </w:r>
          </w:p>
        </w:tc>
        <w:tc>
          <w:tcPr>
            <w:tcW w:type="dxa" w:w="2160"/>
          </w:tcPr>
          <w:p>
            <w:r>
              <w:t>Analog, on-board divider</w:t>
            </w:r>
          </w:p>
        </w:tc>
        <w:tc>
          <w:tcPr>
            <w:tcW w:type="dxa" w:w="2160"/>
          </w:tcPr>
          <w:p>
            <w:r>
              <w:t>Reported in V units; thresholds: ≥3.9 V green, 3.5–3.9 V orange, &lt;3.5 V red.</w:t>
            </w:r>
          </w:p>
        </w:tc>
      </w:tr>
    </w:tbl>
    <w:p/>
    <w:p>
      <w:pPr>
        <w:pStyle w:val="Heading2"/>
      </w:pPr>
      <w:r>
        <w:t>3.3 Auxiliary Sensor Channels</w:t>
      </w:r>
    </w:p>
    <w:p>
      <w:pPr/>
      <w:r>
        <w:t>Each node exposes four auxiliary input channels configurable at deployment time. Channels may be configured as analog inputs (via ADS1015 I²C ADC at address 0x48), I²C interfaces, or mixed-mode combinations. The ADS1015 supports a selectable gain (±6.144 V in GAIN_TWOTHIRDS mode when powered at 5 V), enabling compatibility with voltage-output sensors such as the CWT TH-A soil moisture and temperature probe (0–5 V analog output). A resistor voltage divider is required if the ADS1015 VDD rail is 3.3 V. Channel assignments (soil moisture on A0, soil temperature on A2) are defined in firmware calibration headers and can be updated without reflashing all nodes.</w:t>
      </w:r>
    </w:p>
    <w:p>
      <w:pPr>
        <w:pStyle w:val="Heading2"/>
      </w:pPr>
      <w:r>
        <w:t>3.4 NDVI and Spectral Sensing (AS7343)</w:t>
      </w:r>
    </w:p>
    <w:p>
      <w:pPr/>
      <w:r>
        <w:t>When the AS7343 spectral sensor is fitted and functional, 18 spectral channels (400–855 nm) are sampled using the AUTOSMUX_18_CHANNELS scan mode with a gain of AGAIN_16. A PAR proxy is computed as a calibration-coefficient-weighted sum of the ten visible-band channels (F1 405 nm through F7 690 nm). NDVI is derived as (NIR_855 − F7_690) / (NIR_855 + F7_690). Firmware handles AS7343 initialisation failure gracefully: if the sensor is absent or damaged, the flag g_as7343_ok is set to false and all AS7343 reads are skipped without affecting the SHT40 measurement pathway.</w:t>
      </w:r>
    </w:p>
    <w:p>
      <w:pPr>
        <w:pStyle w:val="Heading1"/>
      </w:pPr>
      <w:r>
        <w:t>4. Materials and Methods</w:t>
      </w:r>
    </w:p>
    <w:p>
      <w:pPr>
        <w:pStyle w:val="Heading2"/>
      </w:pPr>
      <w:r>
        <w:t>4.1 Bill of Materials</w:t>
      </w:r>
    </w:p>
    <w:p>
      <w:pPr/>
      <w:r>
        <w:t>The following table summarises the principal components of a single sensor node. A comprehensive BOM including part numbers, suppliers, unit prices, and quantity-scaled cost estimates for ten-node deployments is provided in the Supplementary Materials.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Function</w:t>
            </w:r>
          </w:p>
        </w:tc>
        <w:tc>
          <w:tcPr>
            <w:tcW w:type="dxa" w:w="2880"/>
          </w:tcPr>
          <w:p>
            <w:r>
              <w:rPr>
                <w:b/>
              </w:rPr>
              <w:t>Interface / Notes</w:t>
            </w:r>
          </w:p>
        </w:tc>
      </w:tr>
      <w:tr>
        <w:tc>
          <w:tcPr>
            <w:tcW w:type="dxa" w:w="2880"/>
          </w:tcPr>
          <w:p>
            <w:r>
              <w:t>ESP32 (WROOM or S3)</w:t>
            </w:r>
          </w:p>
        </w:tc>
        <w:tc>
          <w:tcPr>
            <w:tcW w:type="dxa" w:w="2880"/>
          </w:tcPr>
          <w:p>
            <w:r>
              <w:t>Microcontroller, WiFi/ESP-NOW</w:t>
            </w:r>
          </w:p>
        </w:tc>
        <w:tc>
          <w:tcPr>
            <w:tcW w:type="dxa" w:w="2880"/>
          </w:tcPr>
          <w:p>
            <w:r>
              <w:t>Dual-core, 240 MHz; supports hardware PWM and timers for ultrasonic ToF</w:t>
            </w:r>
          </w:p>
        </w:tc>
      </w:tr>
      <w:tr>
        <w:tc>
          <w:tcPr>
            <w:tcW w:type="dxa" w:w="2880"/>
          </w:tcPr>
          <w:p>
            <w:r>
              <w:t>DS3231 RTC</w:t>
            </w:r>
          </w:p>
        </w:tc>
        <w:tc>
          <w:tcPr>
            <w:tcW w:type="dxa" w:w="2880"/>
          </w:tcPr>
          <w:p>
            <w:r>
              <w:t>Real-time clock and alarm</w:t>
            </w:r>
          </w:p>
        </w:tc>
        <w:tc>
          <w:tcPr>
            <w:tcW w:type="dxa" w:w="2880"/>
          </w:tcPr>
          <w:p>
            <w:r>
              <w:t>I²C; provides ±2 ppm accuracy; alarm wakes node from deep sleep</w:t>
            </w:r>
          </w:p>
        </w:tc>
      </w:tr>
      <w:tr>
        <w:tc>
          <w:tcPr>
            <w:tcW w:type="dxa" w:w="2880"/>
          </w:tcPr>
          <w:p>
            <w:r>
              <w:t>SHTC3 / SHT40</w:t>
            </w:r>
          </w:p>
        </w:tc>
        <w:tc>
          <w:tcPr>
            <w:tcW w:type="dxa" w:w="2880"/>
          </w:tcPr>
          <w:p>
            <w:r>
              <w:t>Air temperature and humidity</w:t>
            </w:r>
          </w:p>
        </w:tc>
        <w:tc>
          <w:tcPr>
            <w:tcW w:type="dxa" w:w="2880"/>
          </w:tcPr>
          <w:p>
            <w:r>
              <w:t>I²C; factory calibrated; ±0.2 °C, ±2 % RH</w:t>
            </w:r>
          </w:p>
        </w:tc>
      </w:tr>
      <w:tr>
        <w:tc>
          <w:tcPr>
            <w:tcW w:type="dxa" w:w="2880"/>
          </w:tcPr>
          <w:p>
            <w:r>
              <w:t>AS7343</w:t>
            </w:r>
          </w:p>
        </w:tc>
        <w:tc>
          <w:tcPr>
            <w:tcW w:type="dxa" w:w="2880"/>
          </w:tcPr>
          <w:p>
            <w:r>
              <w:t>18-channel spectral / PAR / NDVI</w:t>
            </w:r>
          </w:p>
        </w:tc>
        <w:tc>
          <w:tcPr>
            <w:tcW w:type="dxa" w:w="2880"/>
          </w:tcPr>
          <w:p>
            <w:r>
              <w:t>I²C; 400–855 nm; damaged in V1 unit — replacement on order</w:t>
            </w:r>
          </w:p>
        </w:tc>
      </w:tr>
      <w:tr>
        <w:tc>
          <w:tcPr>
            <w:tcW w:type="dxa" w:w="2880"/>
          </w:tcPr>
          <w:p>
            <w:r>
              <w:t>PCA9548A I²C mux</w:t>
            </w:r>
          </w:p>
        </w:tc>
        <w:tc>
          <w:tcPr>
            <w:tcW w:type="dxa" w:w="2880"/>
          </w:tcPr>
          <w:p>
            <w:r>
              <w:t>Isolate sensors sharing I²C bus</w:t>
            </w:r>
          </w:p>
        </w:tc>
        <w:tc>
          <w:tcPr>
            <w:tcW w:type="dxa" w:w="2880"/>
          </w:tcPr>
          <w:p>
            <w:r>
              <w:t>8-channel; address 0x71; software channel selection</w:t>
            </w:r>
          </w:p>
        </w:tc>
      </w:tr>
      <w:tr>
        <w:tc>
          <w:tcPr>
            <w:tcW w:type="dxa" w:w="2880"/>
          </w:tcPr>
          <w:p>
            <w:r>
              <w:t>ADS1015</w:t>
            </w:r>
          </w:p>
        </w:tc>
        <w:tc>
          <w:tcPr>
            <w:tcW w:type="dxa" w:w="2880"/>
          </w:tcPr>
          <w:p>
            <w:r>
              <w:t>12-bit ADC for analog sensors</w:t>
            </w:r>
          </w:p>
        </w:tc>
        <w:tc>
          <w:tcPr>
            <w:tcW w:type="dxa" w:w="2880"/>
          </w:tcPr>
          <w:p>
            <w:r>
              <w:t>I²C @ 0x48; supports ±6.144 V FS with GAIN_TWOTHIRDS</w:t>
            </w:r>
          </w:p>
        </w:tc>
      </w:tr>
      <w:tr>
        <w:tc>
          <w:tcPr>
            <w:tcW w:type="dxa" w:w="2880"/>
          </w:tcPr>
          <w:p>
            <w:r>
              <w:t>CWT TH-A</w:t>
            </w:r>
          </w:p>
        </w:tc>
        <w:tc>
          <w:tcPr>
            <w:tcW w:type="dxa" w:w="2880"/>
          </w:tcPr>
          <w:p>
            <w:r>
              <w:t>Soil moisture + temperature</w:t>
            </w:r>
          </w:p>
        </w:tc>
        <w:tc>
          <w:tcPr>
            <w:tcW w:type="dxa" w:w="2880"/>
          </w:tcPr>
          <w:p>
            <w:r>
              <w:t>0–5 V analog; A0 = moisture, A2 = temperature; on order for V1</w:t>
            </w:r>
          </w:p>
        </w:tc>
      </w:tr>
      <w:tr>
        <w:tc>
          <w:tcPr>
            <w:tcW w:type="dxa" w:w="2880"/>
          </w:tcPr>
          <w:p>
            <w:r>
              <w:t>Ultrasonic transducers (×4)</w:t>
            </w:r>
          </w:p>
        </w:tc>
        <w:tc>
          <w:tcPr>
            <w:tcW w:type="dxa" w:w="2880"/>
          </w:tcPr>
          <w:p>
            <w:r>
              <w:t>Wind speed and direction</w:t>
            </w:r>
          </w:p>
        </w:tc>
        <w:tc>
          <w:tcPr>
            <w:tcW w:type="dxa" w:w="2880"/>
          </w:tcPr>
          <w:p>
            <w:r>
              <w:t>~40 kHz; arranged in orthogonal N/S/E/W pods; single-bounce geometry</w:t>
            </w:r>
          </w:p>
        </w:tc>
      </w:tr>
      <w:tr>
        <w:tc>
          <w:tcPr>
            <w:tcW w:type="dxa" w:w="2880"/>
          </w:tcPr>
          <w:p>
            <w:r>
              <w:t>Custom PCB (EasyEDA / JLCPCB)</w:t>
            </w:r>
          </w:p>
        </w:tc>
        <w:tc>
          <w:tcPr>
            <w:tcW w:type="dxa" w:w="2880"/>
          </w:tcPr>
          <w:p>
            <w:r>
              <w:t>Sensor and power integration</w:t>
            </w:r>
          </w:p>
        </w:tc>
        <w:tc>
          <w:tcPr>
            <w:tcW w:type="dxa" w:w="2880"/>
          </w:tcPr>
          <w:p>
            <w:r>
              <w:t>Houses MCU, RTC, mux, ADC, boost converter, battery management</w:t>
            </w:r>
          </w:p>
        </w:tc>
      </w:tr>
      <w:tr>
        <w:tc>
          <w:tcPr>
            <w:tcW w:type="dxa" w:w="2880"/>
          </w:tcPr>
          <w:p>
            <w:r>
              <w:t>LiPo battery</w:t>
            </w:r>
          </w:p>
        </w:tc>
        <w:tc>
          <w:tcPr>
            <w:tcW w:type="dxa" w:w="2880"/>
          </w:tcPr>
          <w:p>
            <w:r>
              <w:t>Field power supply</w:t>
            </w:r>
          </w:p>
        </w:tc>
        <w:tc>
          <w:tcPr>
            <w:tcW w:type="dxa" w:w="2880"/>
          </w:tcPr>
          <w:p>
            <w:r>
              <w:t>Supplemented by solar charging; capacity to confirm</w:t>
            </w:r>
          </w:p>
        </w:tc>
      </w:tr>
      <w:tr>
        <w:tc>
          <w:tcPr>
            <w:tcW w:type="dxa" w:w="2880"/>
          </w:tcPr>
          <w:p>
            <w:r>
              <w:t>SD card module</w:t>
            </w:r>
          </w:p>
        </w:tc>
        <w:tc>
          <w:tcPr>
            <w:tcW w:type="dxa" w:w="2880"/>
          </w:tcPr>
          <w:p>
            <w:r>
              <w:t>Data logging (mothership only)</w:t>
            </w:r>
          </w:p>
        </w:tc>
        <w:tc>
          <w:tcPr>
            <w:tcW w:type="dxa" w:w="2880"/>
          </w:tcPr>
          <w:p>
            <w:r>
              <w:t>CSV append; mothership continuously powered</w:t>
            </w:r>
          </w:p>
        </w:tc>
      </w:tr>
      <w:tr>
        <w:tc>
          <w:tcPr>
            <w:tcW w:type="dxa" w:w="2880"/>
          </w:tcPr>
          <w:p>
            <w:r>
              <w:t>3D-printed enclosure (PLA/PETG)</w:t>
            </w:r>
          </w:p>
        </w:tc>
        <w:tc>
          <w:tcPr>
            <w:tcW w:type="dxa" w:w="2880"/>
          </w:tcPr>
          <w:p>
            <w:r>
              <w:t>Weather resistance and sensor mounting</w:t>
            </w:r>
          </w:p>
        </w:tc>
        <w:tc>
          <w:tcPr>
            <w:tcW w:type="dxa" w:w="2880"/>
          </w:tcPr>
          <w:p>
            <w:r>
              <w:t>FDM; head-roof-belly architecture; silicone cord gasket seal</w:t>
            </w:r>
          </w:p>
        </w:tc>
      </w:tr>
    </w:tbl>
    <w:p/>
    <w:p>
      <w:r>
        <w:rPr>
          <w:i/>
          <w:color w:val="999999"/>
        </w:rPr>
        <w:t>[TODO: Add unit costs and total BOM cost per node once final sourcing is confirmed]</w:t>
      </w:r>
    </w:p>
    <w:p>
      <w:pPr>
        <w:pStyle w:val="Heading2"/>
      </w:pPr>
      <w:r>
        <w:t>4.2 Build and Assembly</w:t>
      </w:r>
    </w:p>
    <w:p>
      <w:pPr>
        <w:pStyle w:val="Heading3"/>
      </w:pPr>
      <w:r>
        <w:t>4.2.1 Electronics Assembly</w:t>
      </w:r>
    </w:p>
    <w:p>
      <w:pPr/>
      <w:r>
        <w:t>PCBs were fabricated by JLCPCB with surface-mount components assembled using reflow soldering. Through-hole components (connectors, transducer leads, and the DS3231 module) were hand-soldered. After assembly, each board was visually inspected for solder bridges, cold joints, and correct component orientation before power was applied. Supply rail voltages (3.3 V and the ~22 V boost output for ultrasonic drive) were verified under expected load before connecting sensitive ICs.</w:t>
      </w:r>
    </w:p>
    <w:p>
      <w:pPr/>
      <w:r>
        <w:t>Known V1 board-level issues identified during bringup: (i) a diode footprint error in the protection network that loaded the 3.3 V rail — corrected by reworking the affected component; (ii) an incorrectly oriented diode in the ultrasonic transmit gate path that initially prevented correct enable behaviour — corrected by re-orientation during bring-up.</w:t>
      </w:r>
    </w:p>
    <w:p>
      <w:pPr>
        <w:pStyle w:val="Heading3"/>
      </w:pPr>
      <w:r>
        <w:t>4.2.2 Mechanical Assembly</w:t>
      </w:r>
    </w:p>
    <w:p>
      <w:pPr/>
      <w:r>
        <w:t>Enclosure parts were printed using fused deposition modelling (FDM) in PLA or PETG. The three-part head–roof–belly architecture was assembled using M3 fasteners. Ultrasonic transducers were seated in stepped pod bores to maintain consistent alignment and reproducible acoustic path length between builds. A silicone cord gasket was fitted in the continuous belly rim groove before closure to provide a repeatable weather-resistant seal. External sensor cable penetrations were made through localised flat mounting pads using standard cable glands.</w:t>
      </w:r>
    </w:p>
    <w:p>
      <w:r>
        <w:rPr>
          <w:i/>
          <w:color w:val="999999"/>
        </w:rPr>
        <w:t>[TODO: Add photographs: printed parts, assembled enclosure, pod detail, gasket seal]</w:t>
      </w:r>
    </w:p>
    <w:p>
      <w:r>
        <w:rPr>
          <w:i/>
          <w:color w:val="999999"/>
        </w:rPr>
        <w:t>[TODO: Add print orientation guidance — belly base-down; roof top-down; pods vertical]</w:t>
      </w:r>
    </w:p>
    <w:p>
      <w:r>
        <w:rPr>
          <w:i/>
          <w:color w:val="999999"/>
        </w:rPr>
        <w:t>[TODO: Confirm gasket cord diameter and durometer specification]</w:t>
      </w:r>
    </w:p>
    <w:p>
      <w:pPr>
        <w:pStyle w:val="Heading3"/>
      </w:pPr>
      <w:r>
        <w:t>4.2.3 Firmware Deployment</w:t>
      </w:r>
    </w:p>
    <w:p>
      <w:pPr/>
      <w:r>
        <w:t>Firmware was compiled and flashed using PlatformIO. Separate build environments are defined in platformio.ini for the mothership and node targets. After initial flashing, no further physical interaction with nodes is required for configuration or deployment; all runtime settings are managed through the mothership web interface.</w:t>
      </w:r>
    </w:p>
    <w:p>
      <w:pPr/>
      <w:r>
        <w:t>The deployment workflow is as follows:</w:t>
      </w:r>
    </w:p>
    <w:p>
      <w:pPr>
        <w:pStyle w:val="ListNumber"/>
      </w:pPr>
      <w:r>
        <w:t>Flash node firmware via USB using PlatformIO (pio run --target upload).</w:t>
      </w:r>
    </w:p>
    <w:p>
      <w:pPr>
        <w:pStyle w:val="ListNumber"/>
      </w:pPr>
      <w:r>
        <w:t>Power on the mothership and connect a device to the 'Logger001' WiFi access point.</w:t>
      </w:r>
    </w:p>
    <w:p>
      <w:pPr>
        <w:pStyle w:val="ListNumber"/>
      </w:pPr>
      <w:r>
        <w:t>From the home page, press Discover Nodes to locate newly powered nodes.</w:t>
      </w:r>
    </w:p>
    <w:p>
      <w:pPr>
        <w:pStyle w:val="ListNumber"/>
      </w:pPr>
      <w:r>
        <w:t>In the Node Manager, assign a user ID and name, then pair the node.</w:t>
      </w:r>
    </w:p>
    <w:p>
      <w:pPr>
        <w:pStyle w:val="ListNumber"/>
      </w:pPr>
      <w:r>
        <w:t>Set the global wake interval (1, 5, 10, 20, 30, or 60 min) and press Deploy.</w:t>
      </w:r>
    </w:p>
    <w:p>
      <w:pPr>
        <w:pStyle w:val="ListNumber"/>
      </w:pPr>
      <w:r>
        <w:t>Confirm the node appears as Deployed in the fleet summary with a valid battery voltage.</w:t>
      </w:r>
    </w:p>
    <w:p>
      <w:pPr>
        <w:pStyle w:val="ListNumber"/>
      </w:pPr>
      <w:r>
        <w:t>The mothership auto-computes the sync interval as wakeInterval × 18 minutes.</w:t>
      </w:r>
    </w:p>
    <w:p>
      <w:pPr>
        <w:pStyle w:val="Heading3"/>
      </w:pPr>
      <w:r>
        <w:t>4.2.4 Field Configuration</w:t>
      </w:r>
    </w:p>
    <w:p>
      <w:pPr/>
      <w:r>
        <w:t>The mothership hosts a browser-accessible web interface at http://192.168.4.1/ over a local WiFi access point (SSID: Logger + device ID, e.g. Logger001). No internet connection is required. On most mobile devices a captive portal page opens automatically on joining the network. The home page exposes mothership clock management, fleet-wide schedule control, and a CSV download button for direct data export to a field device. Node-level configuration (ID, name, deployment state) is accessible via the Node Manager page. All schedule settings are persisted to non-volatile storage and survive a mothership reboot.</w:t>
      </w:r>
    </w:p>
    <w:p>
      <w:pPr>
        <w:pStyle w:val="Heading1"/>
      </w:pPr>
      <w:r>
        <w:t>5. System Performance and Initial Testing</w:t>
      </w:r>
    </w:p>
    <w:p>
      <w:pPr>
        <w:pStyle w:val="Heading2"/>
      </w:pPr>
      <w:r>
        <w:t>5.1 Mechanical Performance</w:t>
      </w:r>
    </w:p>
    <w:p>
      <w:r>
        <w:rPr>
          <w:i/>
          <w:color w:val="999999"/>
        </w:rPr>
        <w:t>[TODO: Add photos of assembled enclosure; note fit tolerances and gasket seal quality]</w:t>
      </w:r>
    </w:p>
    <w:p>
      <w:pPr/>
      <w:r>
        <w:t>All 3D-printed parts assembled within expected tolerance for M3 fastener clearance. Transducer pod bores maintained consistent seating depth across builds, supporting repeatable acoustic path geometry. The belly silicone cord gasket provided a continuous seal around the enclosure rim.</w:t>
      </w:r>
    </w:p>
    <w:p>
      <w:r>
        <w:rPr>
          <w:i/>
          <w:color w:val="999999"/>
        </w:rPr>
        <w:t>[TODO: Add IP rating / informal water ingress test result if performed]</w:t>
      </w:r>
    </w:p>
    <w:p>
      <w:pPr>
        <w:pStyle w:val="Heading2"/>
      </w:pPr>
      <w:r>
        <w:t>5.2 Network and Firmware Performance</w:t>
      </w:r>
    </w:p>
    <w:p>
      <w:pPr/>
      <w:r>
        <w:t>Node discovery, pairing, and deployment transitions were verified for all units through the mothership web interface without manual firmware intervention. The following network bring-up outcomes were confirmed:</w:t>
      </w:r>
    </w:p>
    <w:tbl>
      <w:tblPr>
        <w:tblStyle w:val="TableGrid"/>
        <w:tblW w:type="auto" w:w="0"/>
        <w:tblLook w:firstColumn="1" w:firstRow="1" w:lastColumn="0" w:lastRow="0" w:noHBand="0" w:noVBand="1" w:val="04A0"/>
      </w:tblPr>
      <w:tblGrid>
        <w:gridCol w:w="4320"/>
        <w:gridCol w:w="4320"/>
      </w:tblGrid>
      <w:tr>
        <w:tc>
          <w:tcPr>
            <w:tcW w:type="dxa" w:w="4320"/>
          </w:tcPr>
          <w:p>
            <w:r>
              <w:rPr>
                <w:b/>
              </w:rPr>
              <w:t>Test</w:t>
            </w:r>
          </w:p>
        </w:tc>
        <w:tc>
          <w:tcPr>
            <w:tcW w:type="dxa" w:w="4320"/>
          </w:tcPr>
          <w:p>
            <w:r>
              <w:rPr>
                <w:b/>
              </w:rPr>
              <w:t>Outcome</w:t>
            </w:r>
          </w:p>
        </w:tc>
      </w:tr>
      <w:tr>
        <w:tc>
          <w:tcPr>
            <w:tcW w:type="dxa" w:w="4320"/>
          </w:tcPr>
          <w:p>
            <w:r>
              <w:t>Node discovery via broadcast</w:t>
            </w:r>
          </w:p>
        </w:tc>
        <w:tc>
          <w:tcPr>
            <w:tcW w:type="dxa" w:w="4320"/>
          </w:tcPr>
          <w:p>
            <w:r>
              <w:t>PASS — nodes appeared in fleet within seconds of pressing Discover</w:t>
            </w:r>
          </w:p>
        </w:tc>
      </w:tr>
      <w:tr>
        <w:tc>
          <w:tcPr>
            <w:tcW w:type="dxa" w:w="4320"/>
          </w:tcPr>
          <w:p>
            <w:r>
              <w:t>Pairing and deployment transitions</w:t>
            </w:r>
          </w:p>
        </w:tc>
        <w:tc>
          <w:tcPr>
            <w:tcW w:type="dxa" w:w="4320"/>
          </w:tcPr>
          <w:p>
            <w:r>
              <w:t>PASS — UNPAIRED → PAIRED → DEPLOYED lifecycle transitions confirmed via dashboard</w:t>
            </w:r>
          </w:p>
        </w:tc>
      </w:tr>
      <w:tr>
        <w:tc>
          <w:tcPr>
            <w:tcW w:type="dxa" w:w="4320"/>
          </w:tcPr>
          <w:p>
            <w:r>
              <w:t>Schedule command propagation</w:t>
            </w:r>
          </w:p>
        </w:tc>
        <w:tc>
          <w:tcPr>
            <w:tcW w:type="dxa" w:w="4320"/>
          </w:tcPr>
          <w:p>
            <w:r>
              <w:t>PASS — SET_SCHEDULE and sync interval commands accepted and retained after reset</w:t>
            </w:r>
          </w:p>
        </w:tc>
      </w:tr>
      <w:tr>
        <w:tc>
          <w:tcPr>
            <w:tcW w:type="dxa" w:w="4320"/>
          </w:tcPr>
          <w:p>
            <w:r>
              <w:t>Time synchronisation (mothership → node)</w:t>
            </w:r>
          </w:p>
        </w:tc>
        <w:tc>
          <w:tcPr>
            <w:tcW w:type="dxa" w:w="4320"/>
          </w:tcPr>
          <w:p>
            <w:r>
              <w:t>PASS — node RTC unix time aligned to mothership DS3231 reference after TIME_SYNC</w:t>
            </w:r>
          </w:p>
        </w:tc>
      </w:tr>
      <w:tr>
        <w:tc>
          <w:tcPr>
            <w:tcW w:type="dxa" w:w="4320"/>
          </w:tcPr>
          <w:p>
            <w:r>
              <w:t>ESP-NOW link reliability (short-range bench)</w:t>
            </w:r>
          </w:p>
        </w:tc>
        <w:tc>
          <w:tcPr>
            <w:tcW w:type="dxa" w:w="4320"/>
          </w:tcPr>
          <w:p>
            <w:r>
              <w:t>PASS — sustained packet delivery confirmed; range testing conducted with bringup_espnow_range_tx/rx sketches</w:t>
            </w:r>
          </w:p>
        </w:tc>
      </w:tr>
      <w:tr>
        <w:tc>
          <w:tcPr>
            <w:tcW w:type="dxa" w:w="4320"/>
          </w:tcPr>
          <w:p>
            <w:r>
              <w:t>CSV logging continuity</w:t>
            </w:r>
          </w:p>
        </w:tc>
        <w:tc>
          <w:tcPr>
            <w:tcW w:type="dxa" w:w="4320"/>
          </w:tcPr>
          <w:p>
            <w:r>
              <w:t>PASS — records written to mothership SD card with correct node ID, sensor label, value, and metadata fields</w:t>
            </w:r>
          </w:p>
        </w:tc>
      </w:tr>
      <w:tr>
        <w:tc>
          <w:tcPr>
            <w:tcW w:type="dxa" w:w="4320"/>
          </w:tcPr>
          <w:p>
            <w:r>
              <w:t>State persistence across reset</w:t>
            </w:r>
          </w:p>
        </w:tc>
        <w:tc>
          <w:tcPr>
            <w:tcW w:type="dxa" w:w="4320"/>
          </w:tcPr>
          <w:p>
            <w:r>
              <w:t>PASS — deployment state, schedule, and sync metadata survived power cycle</w:t>
            </w:r>
          </w:p>
        </w:tc>
      </w:tr>
      <w:tr>
        <w:tc>
          <w:tcPr>
            <w:tcW w:type="dxa" w:w="4320"/>
          </w:tcPr>
          <w:p>
            <w:r>
              <w:t>Unattended operation</w:t>
            </w:r>
          </w:p>
        </w:tc>
        <w:tc>
          <w:tcPr>
            <w:tcW w:type="dxa" w:w="4320"/>
          </w:tcPr>
          <w:p>
            <w:r>
              <w:t>PASS — no missed cycles, stalled logging, or communication dropouts observed during commissioning window</w:t>
            </w:r>
          </w:p>
        </w:tc>
      </w:tr>
    </w:tbl>
    <w:p/>
    <w:p>
      <w:pPr>
        <w:pStyle w:val="Heading2"/>
      </w:pPr>
      <w:r>
        <w:t>5.3 Sensor Behaviour</w:t>
      </w:r>
    </w:p>
    <w:p>
      <w:pPr>
        <w:pStyle w:val="Heading3"/>
      </w:pPr>
      <w:r>
        <w:t>5.3.1 Air Temperature and Relative Humidity</w:t>
      </w:r>
    </w:p>
    <w:p>
      <w:pPr/>
      <w:r>
        <w:t>The SHTC3/SHT40 sensors returned stable, plausible readings across repeated acquisition cycles. Expected monotonic responses to hand-warming thermal stimuli were confirmed during bench bring-up. Diurnal temperature cycles are expected to be evident in field deployment data once nodes are installed.</w:t>
      </w:r>
    </w:p>
    <w:p>
      <w:r>
        <w:rPr>
          <w:i/>
          <w:color w:val="999999"/>
        </w:rPr>
        <w:t>[TODO: Insert example time-series plot: air temperature and RH over 24 h from first field deployment]</w:t>
      </w:r>
    </w:p>
    <w:p>
      <w:pPr>
        <w:pStyle w:val="Heading3"/>
      </w:pPr>
      <w:r>
        <w:t>5.3.2 PAR Sensing</w:t>
      </w:r>
    </w:p>
    <w:p>
      <w:pPr/>
      <w:r>
        <w:t>The AS7343 spectral sensor was confirmed non-functional in the V1 hardware unit due to physical damage sustained prior to bring-up. A replacement unit has been ordered. Bring-up firmware (bringup_sht40_as7343_mux.cpp) handles AS7343 initialisation failure gracefully — the SHT40 pathway operates independently when AS7343 is absent. On receipt of the replacement, bring-up will verify I²C detection at address 0x39, AUTOSMUX_18_CHANNELS mode, and PAR proxy and NDVI computation.</w:t>
      </w:r>
    </w:p>
    <w:p>
      <w:r>
        <w:rPr>
          <w:i/>
          <w:color w:val="999999"/>
        </w:rPr>
        <w:t>[TODO: Insert PAR response plot once AS7343 replacement is installed and bench-tested]</w:t>
      </w:r>
    </w:p>
    <w:p>
      <w:pPr>
        <w:pStyle w:val="Heading3"/>
      </w:pPr>
      <w:r>
        <w:t>5.3.3 Soil Sensors (ADS1015 + CWT TH-A)</w:t>
      </w:r>
    </w:p>
    <w:p>
      <w:pPr/>
      <w:r>
        <w:t>The ADS1015 ADC IC was confirmed present on the I²C bus at address 0x48. Full soil sensor bring-up is pending delivery of the CWT TH-A probe. On receipt, voltage rail compatibility will be confirmed before connection: if ADS VDD = 3.3 V, a 10 kΩ/10 kΩ resistor divider is required to scale the 0–5 V sensor output to within the ADS1015 absolute maximum input rating.</w:t>
      </w:r>
    </w:p>
    <w:p>
      <w:r>
        <w:rPr>
          <w:i/>
          <w:color w:val="999999"/>
        </w:rPr>
        <w:t>[TODO: Insert soil moisture and soil temperature traces once sensor is installed]</w:t>
      </w:r>
    </w:p>
    <w:p>
      <w:pPr>
        <w:pStyle w:val="Heading3"/>
      </w:pPr>
      <w:r>
        <w:t>5.3.4 Ultrasonic Wind Sensing</w:t>
      </w:r>
    </w:p>
    <w:p>
      <w:pPr/>
      <w:r>
        <w:t>The ultrasonic wind subsystem was activated and produced timing events during V1 bring-up. However, detections were dominated by electrical feedthrough and comparator-trigger artefacts rather than true acoustic time-of-flight arrivals. The transmit and receive chain—including the ~22 V boost converter output, MOSFET switching stages, receive-path pre-amplifier, cascaded bandpass stages, and comparator threshold crossing—was confirmed active. Reliable discrimination of acoustic arrivals from artefacts was not achieved under bench conditions in V1.</w:t>
      </w:r>
    </w:p>
    <w:p>
      <w:pPr/>
      <w:r>
        <w:t>The V1 ultrasonic subsystem should therefore be interpreted as a partially commissioned component. Proposed V2 refinements include improved input protection, comparator hysteresis and conditioning, and enhanced blanking of the post-transmit noise window (currently set to 250 µs with a ToF acceptance window of 180–3000 µs). Full wind speed and direction validation against a reference anemometer is planned following V2 hardware revision.</w:t>
      </w:r>
    </w:p>
    <w:p>
      <w:r>
        <w:rPr>
          <w:i/>
          <w:color w:val="999999"/>
        </w:rPr>
        <w:t>[TODO: Insert wind vector time series and wind rose plot once ultrasonic subsystem is validated in V2]</w:t>
      </w:r>
    </w:p>
    <w:p>
      <w:pPr>
        <w:pStyle w:val="Heading2"/>
      </w:pPr>
      <w:r>
        <w:t>5.4 Issues Identified and Refinements Made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Issue</w:t>
            </w:r>
          </w:p>
        </w:tc>
        <w:tc>
          <w:tcPr>
            <w:tcW w:type="dxa" w:w="2160"/>
          </w:tcPr>
          <w:p>
            <w:r>
              <w:rPr>
                <w:b/>
              </w:rPr>
              <w:t>Stage identified</w:t>
            </w:r>
          </w:p>
        </w:tc>
        <w:tc>
          <w:tcPr>
            <w:tcW w:type="dxa" w:w="2160"/>
          </w:tcPr>
          <w:p>
            <w:r>
              <w:rPr>
                <w:b/>
              </w:rPr>
              <w:t>Action taken</w:t>
            </w:r>
          </w:p>
        </w:tc>
        <w:tc>
          <w:tcPr>
            <w:tcW w:type="dxa" w:w="2160"/>
          </w:tcPr>
          <w:p>
            <w:r>
              <w:rPr>
                <w:b/>
              </w:rPr>
              <w:t>Status</w:t>
            </w:r>
          </w:p>
        </w:tc>
      </w:tr>
      <w:tr>
        <w:tc>
          <w:tcPr>
            <w:tcW w:type="dxa" w:w="2160"/>
          </w:tcPr>
          <w:p>
            <w:r>
              <w:t>Diode footprint error loading 3.3 V rail</w:t>
            </w:r>
          </w:p>
        </w:tc>
        <w:tc>
          <w:tcPr>
            <w:tcW w:type="dxa" w:w="2160"/>
          </w:tcPr>
          <w:p>
            <w:r>
              <w:t>Stage A (hardware integrity)</w:t>
            </w:r>
          </w:p>
        </w:tc>
        <w:tc>
          <w:tcPr>
            <w:tcW w:type="dxa" w:w="2160"/>
          </w:tcPr>
          <w:p>
            <w:r>
              <w:t>Reworked component in-place</w:t>
            </w:r>
          </w:p>
        </w:tc>
        <w:tc>
          <w:tcPr>
            <w:tcW w:type="dxa" w:w="2160"/>
          </w:tcPr>
          <w:p>
            <w:r>
              <w:t>Resolved in V1</w:t>
            </w:r>
          </w:p>
        </w:tc>
      </w:tr>
      <w:tr>
        <w:tc>
          <w:tcPr>
            <w:tcW w:type="dxa" w:w="2160"/>
          </w:tcPr>
          <w:p>
            <w:r>
              <w:t>Incorrect diode orientation in ultrasonic TX gate</w:t>
            </w:r>
          </w:p>
        </w:tc>
        <w:tc>
          <w:tcPr>
            <w:tcW w:type="dxa" w:w="2160"/>
          </w:tcPr>
          <w:p>
            <w:r>
              <w:t>Stage A (hardware integrity)</w:t>
            </w:r>
          </w:p>
        </w:tc>
        <w:tc>
          <w:tcPr>
            <w:tcW w:type="dxa" w:w="2160"/>
          </w:tcPr>
          <w:p>
            <w:r>
              <w:t>Re-oriented during bring-up</w:t>
            </w:r>
          </w:p>
        </w:tc>
        <w:tc>
          <w:tcPr>
            <w:tcW w:type="dxa" w:w="2160"/>
          </w:tcPr>
          <w:p>
            <w:r>
              <w:t>Resolved in V1</w:t>
            </w:r>
          </w:p>
        </w:tc>
      </w:tr>
      <w:tr>
        <w:tc>
          <w:tcPr>
            <w:tcW w:type="dxa" w:w="2160"/>
          </w:tcPr>
          <w:p>
            <w:r>
              <w:t>AS7343 physical damage (PAR sensor)</w:t>
            </w:r>
          </w:p>
        </w:tc>
        <w:tc>
          <w:tcPr>
            <w:tcW w:type="dxa" w:w="2160"/>
          </w:tcPr>
          <w:p>
            <w:r>
              <w:t>Stage B (sensor verification)</w:t>
            </w:r>
          </w:p>
        </w:tc>
        <w:tc>
          <w:tcPr>
            <w:tcW w:type="dxa" w:w="2160"/>
          </w:tcPr>
          <w:p>
            <w:r>
              <w:t>Replacement ordered</w:t>
            </w:r>
          </w:p>
        </w:tc>
        <w:tc>
          <w:tcPr>
            <w:tcW w:type="dxa" w:w="2160"/>
          </w:tcPr>
          <w:p>
            <w:r>
              <w:t>Pending — V1 PAR not available</w:t>
            </w:r>
          </w:p>
        </w:tc>
      </w:tr>
      <w:tr>
        <w:tc>
          <w:tcPr>
            <w:tcW w:type="dxa" w:w="2160"/>
          </w:tcPr>
          <w:p>
            <w:r>
              <w:t>CWT TH-A soil probe not yet delivered</w:t>
            </w:r>
          </w:p>
        </w:tc>
        <w:tc>
          <w:tcPr>
            <w:tcW w:type="dxa" w:w="2160"/>
          </w:tcPr>
          <w:p>
            <w:r>
              <w:t>Stage B (sensor verification)</w:t>
            </w:r>
          </w:p>
        </w:tc>
        <w:tc>
          <w:tcPr>
            <w:tcW w:type="dxa" w:w="2160"/>
          </w:tcPr>
          <w:p>
            <w:r>
              <w:t>On order</w:t>
            </w:r>
          </w:p>
        </w:tc>
        <w:tc>
          <w:tcPr>
            <w:tcW w:type="dxa" w:w="2160"/>
          </w:tcPr>
          <w:p>
            <w:r>
              <w:t>Pending</w:t>
            </w:r>
          </w:p>
        </w:tc>
      </w:tr>
      <w:tr>
        <w:tc>
          <w:tcPr>
            <w:tcW w:type="dxa" w:w="2160"/>
          </w:tcPr>
          <w:p>
            <w:r>
              <w:t>Ultrasonic ToF — feedthrough/artefact dominance preventing acoustic discrimination</w:t>
            </w:r>
          </w:p>
        </w:tc>
        <w:tc>
          <w:tcPr>
            <w:tcW w:type="dxa" w:w="2160"/>
          </w:tcPr>
          <w:p>
            <w:r>
              <w:t>Stage B (sensor verification)</w:t>
            </w:r>
          </w:p>
        </w:tc>
        <w:tc>
          <w:tcPr>
            <w:tcW w:type="dxa" w:w="2160"/>
          </w:tcPr>
          <w:p>
            <w:r>
              <w:t>Documented; V2 design refinements planned</w:t>
            </w:r>
          </w:p>
        </w:tc>
        <w:tc>
          <w:tcPr>
            <w:tcW w:type="dxa" w:w="2160"/>
          </w:tcPr>
          <w:p>
            <w:r>
              <w:t>Unresolved in V1 — flagged for V2</w:t>
            </w:r>
          </w:p>
        </w:tc>
      </w:tr>
    </w:tbl>
    <w:p/>
    <w:p>
      <w:pPr>
        <w:pStyle w:val="Heading1"/>
      </w:pPr>
      <w:r>
        <w:t>6. Discussion</w:t>
      </w:r>
    </w:p>
    <w:p>
      <w:pPr>
        <w:pStyle w:val="Heading2"/>
      </w:pPr>
      <w:r>
        <w:t>6.1 Strengths</w:t>
      </w:r>
    </w:p>
    <w:p>
      <w:pPr/>
      <w:r>
        <w:t>The platform demonstrates several practical advantages that distinguish it from commercially available microclimate loggers. Per-unit cost is substantially reduced by using commodity ESP32 modules, standard I²C sensors, and PCBs fabricated through low-cost prototype services such as JLCPCB. This cost structure supports dense spatial replication at a scale that is typically prohibitive with research-grade instrumentation.</w:t>
      </w:r>
    </w:p>
    <w:p>
      <w:pPr/>
      <w:r>
        <w:t>Modularity is a central architectural strength. The exposure of I²C, 1-Wire, and multi-channel analog interfaces at the hardware level allows the sensing payload to be adapted to site-specific measurement needs—adding soil, spectral, or additional atmospheric sensors—without PCB redesign and with only minor firmware modification through the sensor slot abstraction layer (sensors.h). The CSV output format is analysis-ready, with sensor type labels, units, node metadata, and quality flags included in every record, supporting direct import into standard ecological analysis workflows in R or Python.</w:t>
      </w:r>
    </w:p>
    <w:p>
      <w:pPr/>
      <w:r>
        <w:t>The browser-hosted configuration interface eliminates the need for laptop connectivity, custom software, or physical node access for routine field adjustments. All schedule and deployment operations are performed over the local WiFi access point using any mobile device, reducing field maintenance burden at multi-node deployments.</w:t>
      </w:r>
    </w:p>
    <w:p>
      <w:pPr>
        <w:pStyle w:val="Heading2"/>
      </w:pPr>
      <w:r>
        <w:t>6.2 Limitations</w:t>
      </w:r>
    </w:p>
    <w:p>
      <w:pPr/>
      <w:r>
        <w:t>The system has not yet undergone formal metrological calibration against reference-grade atmospheric instrumentation. Temperature and humidity sensor factory calibrations provide a baseline (±0.2 °C, ±2 % RH for the SHT series), but site-specific radiation biases, enclosure thermal effects, and sensor-to-sensor variability have not been characterised. This is a recognised limitation for ecological microclimate research (Maclean et al., 2021; De Frenne et al., 2025) and is identified as a priority for the next phase of testing.</w:t>
      </w:r>
    </w:p>
    <w:p>
      <w:pPr/>
      <w:r>
        <w:t>The ultrasonic wind subsystem was not successfully commissioned in V1. While the electronic architecture and measurement principle are sound, reliable acoustic time-of-flight discrimination was not achieved under bench conditions, and wind speed and direction output therefore cannot be reported for this version of the platform. This represents the most significant functional gap in the current system.</w:t>
      </w:r>
    </w:p>
    <w:p>
      <w:pPr/>
      <w:r>
        <w:t>The AS7343 PAR sensor was damaged in the V1 evaluation unit, precluding PAR and NDVI assessment in this iteration. Soil moisture and temperature characterisation is similarly deferred pending delivery of the CWT TH-A probe. Long-term field durability—including enclosure seal integrity, battery capacity management, and SD card reliability under sustained outdoor conditions—has not yet been tested.</w:t>
      </w:r>
    </w:p>
    <w:p>
      <w:pPr>
        <w:pStyle w:val="Heading2"/>
      </w:pPr>
      <w:r>
        <w:t>6.3 Future Directions</w:t>
      </w:r>
    </w:p>
    <w:p>
      <w:pPr/>
      <w:r>
        <w:t>The immediate next steps are: (i) validation of the SHTC3/SHT40 air temperature and humidity output against a calibrated reference instrument (e.g. HOBO U23 or equivalent) across a representative temperature range; (ii) commissioning of the AS7343 PAR proxy and NDVI output against a cosine-corrected PAR sensor; (iii) V2 ultrasonic hardware revision to resolve transmit feedthrough and comparator artefact issues, followed by wind speed and direction validation against a cup anemometer or sonic reference; (iv) soil sensor bring-up and calibration; and (v) multi-node deployment at a photovoltaic installation site to characterise microclimate gradients across under-panel, inter-row, and edge zones.</w:t>
      </w:r>
    </w:p>
    <w:p>
      <w:pPr/>
      <w:r>
        <w:t>Longer-term development priorities include power optimisation for extended solar-only operation, computational fluid dynamics (CFD)-informed refinement of ultrasonic sensing geometry to minimise enclosure-induced flow distortion, and alignment of the CSV output schema with CF (Climate and Forecast) conventions to support integration with published microclimate datasets.</w:t>
      </w:r>
    </w:p>
    <w:p>
      <w:pPr>
        <w:pStyle w:val="Heading1"/>
      </w:pPr>
      <w:r>
        <w:t>7. Conclusion</w:t>
      </w:r>
    </w:p>
    <w:p>
      <w:pPr/>
      <w:r>
        <w:t>We have designed, built, and partially commissioned an open, low-cost microclimate monitoring platform intended for fine-scale ecological deployment in spatially heterogeneous landscapes. The system integrates custom PCB hardware, 3D-printed mechanical enclosures, and a distributed firmware architecture into a unified and reproducible monitoring framework. Core temperature, humidity, and network communication subsystems were successfully commissioned during bring-up, and multi-node data logging to analysis-ready CSV was confirmed functional. The ultrasonic wind subsystem was partially commissioned and identified as requiring targeted hardware refinement in V2. The platform provides an open, modular foundation for scalable microclimate monitoring and is ready for field validation and iterative refinement toward full deployment at photovoltaic and other structurally heterogeneous ecological sites.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