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BA" w:rsidRDefault="00E563BA" w:rsidP="00E563BA">
      <w:pPr>
        <w:pStyle w:val="Heading2"/>
      </w:pPr>
      <w:r>
        <w:t>The reason the RBI has stuck to the hawkish stance could lie in its outlook for India’s economic growth and inflation in 2023-24. The central bank expects the GDP to grow by 6.4%, but the growth rate to slow in every successive quarter through the year; and for retail inflation to not fall below 5% in any quarter.</w:t>
      </w:r>
    </w:p>
    <w:p w:rsidR="00EC71C4" w:rsidRPr="00E563BA" w:rsidRDefault="00EC71C4" w:rsidP="00E563BA">
      <w:bookmarkStart w:id="0" w:name="_GoBack"/>
      <w:bookmarkEnd w:id="0"/>
    </w:p>
    <w:sectPr w:rsidR="00EC71C4" w:rsidRPr="00E5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58"/>
    <w:rsid w:val="002C5558"/>
    <w:rsid w:val="00744632"/>
    <w:rsid w:val="00A34BE1"/>
    <w:rsid w:val="00E563BA"/>
    <w:rsid w:val="00E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17554-8417-47E2-BA86-845E7B9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563B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4</cp:revision>
  <cp:lastPrinted>2023-02-09T10:30:00Z</cp:lastPrinted>
  <dcterms:created xsi:type="dcterms:W3CDTF">2023-02-09T09:02:00Z</dcterms:created>
  <dcterms:modified xsi:type="dcterms:W3CDTF">2023-02-09T10:31:00Z</dcterms:modified>
</cp:coreProperties>
</file>