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Real-World Digital Safety Cases</w:t>
      </w:r>
    </w:p>
    <w:p>
      <w:pPr>
        <w:pStyle w:val="Subtitle"/>
      </w:pPr>
      <w:r>
        <w:t>Five fictional scenarios + one ambiguous case for evidence-based discussion</w:t>
      </w:r>
    </w:p>
    <w:p>
      <w:r>
        <w:t>These scenarios are intentionally invented for learning. They complement the separate fundamentals guide: the guide explains general principles, while this casebook asks you to apply them. All names, organisations and domains are fictitious.</w:t>
      </w:r>
    </w:p>
    <w:p>
      <w:pPr>
        <w:pStyle w:val="Heading1"/>
      </w:pPr>
      <w:r>
        <w:t>How to read the scenarios</w:t>
      </w:r>
    </w:p>
    <w:p>
      <w:pPr>
        <w:pStyle w:val="ListBullet"/>
      </w:pPr>
      <w:r>
        <w:t>Identify the request and the claimed identity of the sender.</w:t>
      </w:r>
    </w:p>
    <w:p>
      <w:pPr>
        <w:pStyle w:val="ListBullet"/>
      </w:pPr>
      <w:r>
        <w:t>Spot indicators that need independent verification.</w:t>
      </w:r>
    </w:p>
    <w:p>
      <w:pPr>
        <w:pStyle w:val="ListBullet"/>
      </w:pPr>
      <w:r>
        <w:t>Choose a safe next step before considering any link, payment or disclosure.</w:t>
      </w:r>
    </w:p>
    <w:p>
      <w:pPr>
        <w:pStyle w:val="ListBullet"/>
      </w:pPr>
      <w:r>
        <w:t>Explain what additional evidence would change your assessment.</w:t>
      </w:r>
    </w:p>
    <w:p>
      <w:pPr>
        <w:pStyle w:val="Heading1"/>
      </w:pPr>
      <w:r>
        <w:t>C01  |  The missed parcel message</w:t>
      </w:r>
    </w:p>
    <w:p>
      <w:r>
        <w:rPr>
          <w:b/>
        </w:rPr>
        <w:t xml:space="preserve">Setting: </w:t>
      </w:r>
      <w:r>
        <w:t>Personal messaging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</w:tcPr>
          <w:p>
            <w:r>
              <w:t>SCENARIO</w:t>
              <w:br/>
              <w:t>A message arrives: "Delivery held! Confirm your address and pay a small redelivery fee before tonight." The link is parcel-help.example/track. The recipient is expecting a parcel this week.</w:t>
            </w:r>
          </w:p>
        </w:tc>
      </w:tr>
    </w:tbl>
    <w:p>
      <w:r>
        <w:rPr>
          <w:b/>
          <w:color w:val="128470"/>
        </w:rPr>
        <w:t xml:space="preserve">Think about: </w:t>
      </w:r>
      <w:r>
        <w:t>Does expecting a parcel prove the message is genuine? What independent channel could confirm the status?</w:t>
      </w:r>
    </w:p>
    <w:p>
      <w:r>
        <w:rPr>
          <w:b/>
          <w:color w:val="128470"/>
        </w:rPr>
        <w:t xml:space="preserve">Suggested safe response: </w:t>
      </w:r>
      <w:r>
        <w:t>Do not trust the provided link merely because a delivery is expected. Check the carrier using its independently opened official app or website.</w:t>
      </w:r>
    </w:p>
    <w:p>
      <w:r>
        <w:rPr>
          <w:b/>
          <w:color w:val="128470"/>
        </w:rPr>
        <w:t xml:space="preserve">Key concepts: </w:t>
      </w:r>
      <w:r>
        <w:t>Impersonation, payment pretext, urgency</w:t>
      </w:r>
    </w:p>
    <w:p>
      <w:pPr>
        <w:pStyle w:val="Heading1"/>
      </w:pPr>
      <w:r>
        <w:t>C02  |  The internship selection email</w:t>
      </w:r>
    </w:p>
    <w:p>
      <w:r>
        <w:rPr>
          <w:b/>
        </w:rPr>
        <w:t xml:space="preserve">Setting: </w:t>
      </w:r>
      <w:r>
        <w:t>Education / recruitment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</w:tcPr>
          <w:p>
            <w:r>
              <w:t>SCENARIO</w:t>
              <w:br/>
              <w:t>An applicant receives: "Congratulations! Your internship is confirmed. Send a scan of your identity document and pay a refundable onboarding fee in the next two hours." The sender uses careers@sample-opportunity.example.</w:t>
            </w:r>
          </w:p>
        </w:tc>
      </w:tr>
    </w:tbl>
    <w:p>
      <w:r>
        <w:rPr>
          <w:b/>
          <w:color w:val="128470"/>
        </w:rPr>
        <w:t xml:space="preserve">Think about: </w:t>
      </w:r>
      <w:r>
        <w:t>Which demands need verification? Should a student send an identity document at this stage?</w:t>
      </w:r>
    </w:p>
    <w:p>
      <w:r>
        <w:rPr>
          <w:b/>
          <w:color w:val="128470"/>
        </w:rPr>
        <w:t xml:space="preserve">Suggested safe response: </w:t>
      </w:r>
      <w:r>
        <w:t>Verify the organisation and opportunity independently; do not share identity documents or pay an unexpected fee based on the email.</w:t>
      </w:r>
    </w:p>
    <w:p>
      <w:r>
        <w:rPr>
          <w:b/>
          <w:color w:val="128470"/>
        </w:rPr>
        <w:t xml:space="preserve">Key concepts: </w:t>
      </w:r>
      <w:r>
        <w:t>Personal information request, financial pressure, verification</w:t>
      </w:r>
    </w:p>
    <w:p>
      <w:pPr>
        <w:pStyle w:val="Heading1"/>
      </w:pPr>
      <w:r>
        <w:t>C03  |  The QR code on a public notice</w:t>
      </w:r>
    </w:p>
    <w:p>
      <w:r>
        <w:rPr>
          <w:b/>
        </w:rPr>
        <w:t xml:space="preserve">Setting: </w:t>
      </w:r>
      <w:r>
        <w:t>Public setting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</w:tcPr>
          <w:p>
            <w:r>
              <w:t>SCENARIO</w:t>
              <w:br/>
              <w:t>A poster claims to offer free event registration and displays a QR code. Scanning shows a shortened address. The page requests social-login access and broad contact permissions.</w:t>
            </w:r>
          </w:p>
        </w:tc>
      </w:tr>
    </w:tbl>
    <w:p>
      <w:r>
        <w:rPr>
          <w:b/>
          <w:color w:val="128470"/>
        </w:rPr>
        <w:t xml:space="preserve">Think about: </w:t>
      </w:r>
      <w:r>
        <w:t>Is every QR code dangerous? What should you inspect before signing in or granting permission?</w:t>
      </w:r>
    </w:p>
    <w:p>
      <w:r>
        <w:rPr>
          <w:b/>
          <w:color w:val="128470"/>
        </w:rPr>
        <w:t xml:space="preserve">Suggested safe response: </w:t>
      </w:r>
      <w:r>
        <w:t>A QR code is only a way to encode a destination. Verify the event organiser and URL; avoid unnecessary permissions and unsolicited sign-ins.</w:t>
      </w:r>
    </w:p>
    <w:p>
      <w:r>
        <w:rPr>
          <w:b/>
          <w:color w:val="128470"/>
        </w:rPr>
        <w:t xml:space="preserve">Key concepts: </w:t>
      </w:r>
      <w:r>
        <w:t>Link destination, permissions, consent</w:t>
      </w:r>
    </w:p>
    <w:p>
      <w:pPr>
        <w:pStyle w:val="Heading1"/>
      </w:pPr>
      <w:r>
        <w:t>C04  |  The shared document link</w:t>
      </w:r>
    </w:p>
    <w:p>
      <w:r>
        <w:rPr>
          <w:b/>
        </w:rPr>
        <w:t xml:space="preserve">Setting: </w:t>
      </w:r>
      <w:r>
        <w:t>Learning / workplace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</w:tcPr>
          <w:p>
            <w:r>
              <w:t>SCENARIO</w:t>
              <w:br/>
              <w:t>A team member shares a project notes document with "Anyone with the link can view" enabled. The notes also contain fictional customer records and an internal draft budget.</w:t>
            </w:r>
          </w:p>
        </w:tc>
      </w:tr>
    </w:tbl>
    <w:p>
      <w:r>
        <w:rPr>
          <w:b/>
          <w:color w:val="128470"/>
        </w:rPr>
        <w:t xml:space="preserve">Think about: </w:t>
      </w:r>
      <w:r>
        <w:t>What is the risk even when the sender is trusted? What setting would be safer?</w:t>
      </w:r>
    </w:p>
    <w:p>
      <w:r>
        <w:rPr>
          <w:b/>
          <w:color w:val="128470"/>
        </w:rPr>
        <w:t xml:space="preserve">Suggested safe response: </w:t>
      </w:r>
      <w:r>
        <w:t>Limit access to approved named people or authorised groups; remove unnecessary sensitive data and follow the organisation's sharing rules.</w:t>
      </w:r>
    </w:p>
    <w:p>
      <w:r>
        <w:rPr>
          <w:b/>
          <w:color w:val="128470"/>
        </w:rPr>
        <w:t xml:space="preserve">Key concepts: </w:t>
      </w:r>
      <w:r>
        <w:t>Access control, data minimisation, privacy</w:t>
      </w:r>
    </w:p>
    <w:p>
      <w:pPr>
        <w:pStyle w:val="Heading1"/>
      </w:pPr>
      <w:r>
        <w:t>C05  |  The urgent voice request</w:t>
      </w:r>
    </w:p>
    <w:p>
      <w:r>
        <w:rPr>
          <w:b/>
        </w:rPr>
        <w:t xml:space="preserve">Setting: </w:t>
      </w:r>
      <w:r>
        <w:t>Work / finance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</w:tcPr>
          <w:p>
            <w:r>
              <w:t>SCENARIO</w:t>
              <w:br/>
              <w:t>Someone claiming to be a manager calls with a familiar-sounding voice, insists that an invoice be paid to a new bank account, and says "Do not disturb anyone; I am in a meeting."</w:t>
            </w:r>
          </w:p>
        </w:tc>
      </w:tr>
    </w:tbl>
    <w:p>
      <w:r>
        <w:rPr>
          <w:b/>
          <w:color w:val="128470"/>
        </w:rPr>
        <w:t xml:space="preserve">Think about: </w:t>
      </w:r>
      <w:r>
        <w:t>Can a familiar-sounding voice prove identity? What payment verification policy should be used?</w:t>
      </w:r>
    </w:p>
    <w:p>
      <w:r>
        <w:rPr>
          <w:b/>
          <w:color w:val="128470"/>
        </w:rPr>
        <w:t xml:space="preserve">Suggested safe response: </w:t>
      </w:r>
      <w:r>
        <w:t>Use a separate trusted contact channel and established approval process before changing payment details or moving funds.</w:t>
      </w:r>
    </w:p>
    <w:p>
      <w:r>
        <w:rPr>
          <w:b/>
          <w:color w:val="128470"/>
        </w:rPr>
        <w:t xml:space="preserve">Key concepts: </w:t>
      </w:r>
      <w:r>
        <w:t>Voice impersonation, payment changes, out-of-band verification</w:t>
      </w:r>
    </w:p>
    <w:p>
      <w:r>
        <w:br w:type="page"/>
      </w:r>
    </w:p>
    <w:p>
      <w:pPr>
        <w:pStyle w:val="Heading1"/>
      </w:pPr>
      <w:r>
        <w:t>C06  |  The real security notification</w:t>
      </w:r>
    </w:p>
    <w:p>
      <w:r>
        <w:rPr>
          <w:b/>
        </w:rPr>
        <w:t xml:space="preserve">Setting: </w:t>
      </w:r>
      <w:r>
        <w:t>Ambiguous example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</w:tcPr>
          <w:p>
            <w:r>
              <w:t>SCENARIO</w:t>
              <w:br/>
              <w:t>A genuine-looking notification says a new device accessed an account. There is no link, but it urges the account holder to review sign-in activity in the official app.</w:t>
            </w:r>
          </w:p>
        </w:tc>
      </w:tr>
    </w:tbl>
    <w:p>
      <w:r>
        <w:rPr>
          <w:b/>
          <w:color w:val="128470"/>
        </w:rPr>
        <w:t xml:space="preserve">Think about: </w:t>
      </w:r>
      <w:r>
        <w:t>Why is this not automatically fraudulent? How can the recipient confirm the activity safely?</w:t>
      </w:r>
    </w:p>
    <w:p>
      <w:r>
        <w:rPr>
          <w:b/>
          <w:color w:val="128470"/>
        </w:rPr>
        <w:t xml:space="preserve">Suggested safe response: </w:t>
      </w:r>
      <w:r>
        <w:t>An unexpected security notice may be legitimate or fraudulent. Open the official app independently and review login activity before taking further action.</w:t>
      </w:r>
    </w:p>
    <w:p>
      <w:r>
        <w:rPr>
          <w:b/>
          <w:color w:val="128470"/>
        </w:rPr>
        <w:t xml:space="preserve">Key concepts: </w:t>
      </w:r>
      <w:r>
        <w:t>Uncertainty, independent verification, careful judgement</w:t>
      </w:r>
    </w:p>
    <w:p>
      <w:pPr>
        <w:pStyle w:val="Heading1"/>
      </w:pPr>
      <w:r>
        <w:t>Cross-case synthesis</w:t>
      </w:r>
    </w:p>
    <w:p>
      <w:r>
        <w:t>Use these prompts to analyse the cases together, rather than answering each in isolation:</w:t>
      </w:r>
    </w:p>
    <w:p>
      <w:pPr>
        <w:pStyle w:val="ListNumber"/>
      </w:pPr>
      <w:r>
        <w:t>Which scenarios involve financial pressure?</w:t>
      </w:r>
    </w:p>
    <w:p>
      <w:pPr>
        <w:pStyle w:val="ListNumber"/>
      </w:pPr>
      <w:r>
        <w:t>Which scenarios involve requests for sensitive information?</w:t>
      </w:r>
    </w:p>
    <w:p>
      <w:pPr>
        <w:pStyle w:val="ListNumber"/>
      </w:pPr>
      <w:r>
        <w:t>Which require a second trusted communication channel?</w:t>
      </w:r>
    </w:p>
    <w:p>
      <w:pPr>
        <w:pStyle w:val="ListNumber"/>
      </w:pPr>
      <w:r>
        <w:t>Which case demonstrates that a warning sign is not automatic proof of fraud?</w:t>
      </w:r>
    </w:p>
    <w:p>
      <w:pPr>
        <w:pStyle w:val="ListNumber"/>
      </w:pPr>
      <w:r>
        <w:t>How could a summary, mind map or comparison table organise the lessons across the six cases?</w:t>
      </w:r>
    </w:p>
    <w:p>
      <w:pPr>
        <w:pStyle w:val="Heading1"/>
      </w:pPr>
      <w:r>
        <w:t>Evidence table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26"/>
        <w:gridCol w:w="2426"/>
        <w:gridCol w:w="2426"/>
        <w:gridCol w:w="2426"/>
      </w:tblGrid>
      <w:tr>
        <w:tc>
          <w:tcPr>
            <w:tcW w:type="dxa" w:w="2426"/>
          </w:tcPr>
          <w:p>
            <w:r>
              <w:t>Case</w:t>
            </w:r>
          </w:p>
        </w:tc>
        <w:tc>
          <w:tcPr>
            <w:tcW w:type="dxa" w:w="2426"/>
          </w:tcPr>
          <w:p>
            <w:r>
              <w:t>Main concern</w:t>
            </w:r>
          </w:p>
        </w:tc>
        <w:tc>
          <w:tcPr>
            <w:tcW w:type="dxa" w:w="2426"/>
          </w:tcPr>
          <w:p>
            <w:r>
              <w:t>Safer next step</w:t>
            </w:r>
          </w:p>
        </w:tc>
        <w:tc>
          <w:tcPr>
            <w:tcW w:type="dxa" w:w="2426"/>
          </w:tcPr>
          <w:p>
            <w:r>
              <w:t>Uncertainty</w:t>
            </w:r>
          </w:p>
        </w:tc>
      </w:tr>
      <w:tr>
        <w:tc>
          <w:tcPr>
            <w:tcW w:type="dxa" w:w="2426"/>
          </w:tcPr>
          <w:p>
            <w:r>
              <w:t>C01</w:t>
            </w:r>
          </w:p>
        </w:tc>
        <w:tc>
          <w:tcPr>
            <w:tcW w:type="dxa" w:w="2426"/>
          </w:tcPr>
          <w:p>
            <w:r>
              <w:t>________________</w:t>
            </w:r>
          </w:p>
        </w:tc>
        <w:tc>
          <w:tcPr>
            <w:tcW w:type="dxa" w:w="2426"/>
          </w:tcPr>
          <w:p>
            <w:r>
              <w:t>________________</w:t>
            </w:r>
          </w:p>
        </w:tc>
        <w:tc>
          <w:tcPr>
            <w:tcW w:type="dxa" w:w="2426"/>
          </w:tcPr>
          <w:p>
            <w:r>
              <w:t>________________</w:t>
            </w:r>
          </w:p>
        </w:tc>
      </w:tr>
      <w:tr>
        <w:tc>
          <w:tcPr>
            <w:tcW w:type="dxa" w:w="2426"/>
          </w:tcPr>
          <w:p>
            <w:r>
              <w:t>C02</w:t>
            </w:r>
          </w:p>
        </w:tc>
        <w:tc>
          <w:tcPr>
            <w:tcW w:type="dxa" w:w="2426"/>
          </w:tcPr>
          <w:p>
            <w:r>
              <w:t>________________</w:t>
            </w:r>
          </w:p>
        </w:tc>
        <w:tc>
          <w:tcPr>
            <w:tcW w:type="dxa" w:w="2426"/>
          </w:tcPr>
          <w:p>
            <w:r>
              <w:t>________________</w:t>
            </w:r>
          </w:p>
        </w:tc>
        <w:tc>
          <w:tcPr>
            <w:tcW w:type="dxa" w:w="2426"/>
          </w:tcPr>
          <w:p>
            <w:r>
              <w:t>________________</w:t>
            </w:r>
          </w:p>
        </w:tc>
      </w:tr>
      <w:tr>
        <w:tc>
          <w:tcPr>
            <w:tcW w:type="dxa" w:w="2426"/>
          </w:tcPr>
          <w:p>
            <w:r>
              <w:t>C03</w:t>
            </w:r>
          </w:p>
        </w:tc>
        <w:tc>
          <w:tcPr>
            <w:tcW w:type="dxa" w:w="2426"/>
          </w:tcPr>
          <w:p>
            <w:r>
              <w:t>________________</w:t>
            </w:r>
          </w:p>
        </w:tc>
        <w:tc>
          <w:tcPr>
            <w:tcW w:type="dxa" w:w="2426"/>
          </w:tcPr>
          <w:p>
            <w:r>
              <w:t>________________</w:t>
            </w:r>
          </w:p>
        </w:tc>
        <w:tc>
          <w:tcPr>
            <w:tcW w:type="dxa" w:w="2426"/>
          </w:tcPr>
          <w:p>
            <w:r>
              <w:t>________________</w:t>
            </w:r>
          </w:p>
        </w:tc>
      </w:tr>
      <w:tr>
        <w:tc>
          <w:tcPr>
            <w:tcW w:type="dxa" w:w="2426"/>
          </w:tcPr>
          <w:p>
            <w:r>
              <w:t>C04</w:t>
            </w:r>
          </w:p>
        </w:tc>
        <w:tc>
          <w:tcPr>
            <w:tcW w:type="dxa" w:w="2426"/>
          </w:tcPr>
          <w:p>
            <w:r>
              <w:t>________________</w:t>
            </w:r>
          </w:p>
        </w:tc>
        <w:tc>
          <w:tcPr>
            <w:tcW w:type="dxa" w:w="2426"/>
          </w:tcPr>
          <w:p>
            <w:r>
              <w:t>________________</w:t>
            </w:r>
          </w:p>
        </w:tc>
        <w:tc>
          <w:tcPr>
            <w:tcW w:type="dxa" w:w="2426"/>
          </w:tcPr>
          <w:p>
            <w:r>
              <w:t>________________</w:t>
            </w:r>
          </w:p>
        </w:tc>
      </w:tr>
      <w:tr>
        <w:tc>
          <w:tcPr>
            <w:tcW w:type="dxa" w:w="2426"/>
          </w:tcPr>
          <w:p>
            <w:r>
              <w:t>C05</w:t>
            </w:r>
          </w:p>
        </w:tc>
        <w:tc>
          <w:tcPr>
            <w:tcW w:type="dxa" w:w="2426"/>
          </w:tcPr>
          <w:p>
            <w:r>
              <w:t>________________</w:t>
            </w:r>
          </w:p>
        </w:tc>
        <w:tc>
          <w:tcPr>
            <w:tcW w:type="dxa" w:w="2426"/>
          </w:tcPr>
          <w:p>
            <w:r>
              <w:t>________________</w:t>
            </w:r>
          </w:p>
        </w:tc>
        <w:tc>
          <w:tcPr>
            <w:tcW w:type="dxa" w:w="2426"/>
          </w:tcPr>
          <w:p>
            <w:r>
              <w:t>________________</w:t>
            </w:r>
          </w:p>
        </w:tc>
      </w:tr>
      <w:tr>
        <w:tc>
          <w:tcPr>
            <w:tcW w:type="dxa" w:w="2426"/>
          </w:tcPr>
          <w:p>
            <w:r>
              <w:t>C06</w:t>
            </w:r>
          </w:p>
        </w:tc>
        <w:tc>
          <w:tcPr>
            <w:tcW w:type="dxa" w:w="2426"/>
          </w:tcPr>
          <w:p>
            <w:r>
              <w:t>________________</w:t>
            </w:r>
          </w:p>
        </w:tc>
        <w:tc>
          <w:tcPr>
            <w:tcW w:type="dxa" w:w="2426"/>
          </w:tcPr>
          <w:p>
            <w:r>
              <w:t>________________</w:t>
            </w:r>
          </w:p>
        </w:tc>
        <w:tc>
          <w:tcPr>
            <w:tcW w:type="dxa" w:w="2426"/>
          </w:tcPr>
          <w:p>
            <w:r>
              <w:t>________________</w:t>
            </w:r>
          </w:p>
        </w:tc>
      </w:tr>
    </w:tbl>
    <w:p>
      <w:pPr>
        <w:pStyle w:val="Heading1"/>
      </w:pPr>
      <w:r>
        <w:t>Further reading</w:t>
      </w:r>
    </w:p>
    <w:p>
      <w:r>
        <w:t>FTC: https://consumer.ftc.gov/articles/how-recognize-avoid-phishing-scams</w:t>
      </w:r>
    </w:p>
    <w:p>
      <w:r>
        <w:t>CISA: https://www.cisa.gov/secure-our-world</w:t>
      </w:r>
    </w:p>
    <w:p>
      <w:r>
        <w:t>Educational use only. This casebook is an original fictional scenario set; no real personal or institutional data is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67" w:bottom="1008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Fictional learning scenarios  •  Not real messages or organisations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AI IN ACTION  /  DIGITAL SAFETY CASEBOOK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16274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274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17B6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274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Real-World Digital Safety Cases</dc:title>
  <dc:subject/>
  <dc:creator>AI in Action — Learning Resources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