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1"/>
        <w:keepLines w:val="1"/>
        <w:contextualSpacing w:val="0"/>
      </w:pPr>
      <w:bookmarkStart w:colFirst="0" w:colLast="0" w:name="h.db2vpekioum7" w:id="0"/>
      <w:bookmarkEnd w:id="0"/>
      <w:r w:rsidDel="00000000" w:rsidR="00000000" w:rsidRPr="00000000">
        <w:rPr>
          <w:rFonts w:ascii="Courier New" w:cs="Courier New" w:eastAsia="Courier New" w:hAnsi="Courier New"/>
          <w:rtl w:val="0"/>
        </w:rPr>
        <w:t xml:space="preserve">Discovering injectables in Angular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Angular 2 needs a way to preserve type factories and annotation data for types that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used by the application</w:t>
      </w:r>
    </w:p>
    <w:p w:rsidR="00000000" w:rsidDel="00000000" w:rsidP="00000000" w:rsidRDefault="00000000" w:rsidRPr="00000000">
      <w:pPr>
        <w:numPr>
          <w:ilvl w:val="0"/>
          <w:numId w:val="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injectable via DI</w:t>
      </w:r>
    </w:p>
    <w:p w:rsidR="00000000" w:rsidDel="00000000" w:rsidP="00000000" w:rsidRDefault="00000000" w:rsidRPr="00000000">
      <w:pPr>
        <w:pStyle w:val="Heading1"/>
        <w:keepNext w:val="1"/>
        <w:keepLines w:val="1"/>
        <w:spacing w:before="200" w:lineRule="auto"/>
        <w:contextualSpacing w:val="0"/>
      </w:pPr>
      <w:bookmarkStart w:colFirst="0" w:colLast="0" w:name="h.o9kt9rblmr4z" w:id="1"/>
      <w:bookmarkEnd w:id="1"/>
      <w:r w:rsidDel="00000000" w:rsidR="00000000" w:rsidRPr="00000000">
        <w:rPr>
          <w:rFonts w:ascii="Courier New" w:cs="Courier New" w:eastAsia="Courier New" w:hAnsi="Courier New"/>
          <w:rtl w:val="0"/>
        </w:rPr>
        <w:t xml:space="preserve">Proposal #1: tree shaking + @</w:t>
      </w:r>
      <w:commentRangeStart w:id="0"/>
      <w:commentRangeStart w:id="1"/>
      <w:commentRangeStart w:id="2"/>
      <w:commentRangeStart w:id="3"/>
      <w:commentRangeStart w:id="4"/>
      <w:r w:rsidDel="00000000" w:rsidR="00000000" w:rsidRPr="00000000">
        <w:rPr>
          <w:rFonts w:ascii="Courier New" w:cs="Courier New" w:eastAsia="Courier New" w:hAnsi="Courier New"/>
          <w:rtl w:val="0"/>
        </w:rPr>
        <w:t xml:space="preserve">Injectable</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(Dart team) Provides a way for analyzer and/or dart2js produce the list of types retained after tree shaking. We use this to get a list of types used by the application.</w:t>
      </w:r>
    </w:p>
    <w:p w:rsidR="00000000" w:rsidDel="00000000" w:rsidP="00000000" w:rsidRDefault="00000000" w:rsidRPr="00000000">
      <w:pPr>
        <w:numPr>
          <w:ilvl w:val="0"/>
          <w:numId w:val="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w:t>
      </w:r>
      <w:commentRangeStart w:id="5"/>
      <w:commentRangeStart w:id="6"/>
      <w:r w:rsidDel="00000000" w:rsidR="00000000" w:rsidRPr="00000000">
        <w:rPr>
          <w:rFonts w:ascii="Courier New" w:cs="Courier New" w:eastAsia="Courier New" w:hAnsi="Courier New"/>
          <w:rtl w:val="0"/>
        </w:rPr>
        <w:t xml:space="preserve">Angular team</w:t>
      </w:r>
      <w:commentRangeEnd w:id="5"/>
      <w:r w:rsidDel="00000000" w:rsidR="00000000" w:rsidRPr="00000000">
        <w:commentReference w:id="5"/>
      </w:r>
      <w:commentRangeEnd w:id="6"/>
      <w:r w:rsidDel="00000000" w:rsidR="00000000" w:rsidRPr="00000000">
        <w:commentReference w:id="6"/>
      </w:r>
      <w:r w:rsidDel="00000000" w:rsidR="00000000" w:rsidRPr="00000000">
        <w:rPr>
          <w:rFonts w:ascii="Courier New" w:cs="Courier New" w:eastAsia="Courier New" w:hAnsi="Courier New"/>
          <w:rtl w:val="0"/>
        </w:rPr>
        <w:t xml:space="preserve">) Builds a transformer that produces a list of all types that have @Injectable annotation on them. These determine types that are available for injection via DI.</w:t>
      </w:r>
    </w:p>
    <w:p w:rsidR="00000000" w:rsidDel="00000000" w:rsidP="00000000" w:rsidRDefault="00000000" w:rsidRPr="00000000">
      <w:pPr>
        <w:numPr>
          <w:ilvl w:val="0"/>
          <w:numId w:val="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(Angular team) Extract type factories and annotation data on the set of types that’s an intersection of two type lists from above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Example:</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main()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var injector = new Injector([Foo]);</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injector.get(Foo).printDate(new DateTime.now());</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@Injectable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class Foo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printDate(DateTime dt) { print(dt);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@Injectable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class Bar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 the example above the list of classes used by the application is [Foo, DateTime], and the list of injectables is [Foo, Bar]. The intersection is [Foo] and so Foo is the only class that we build stubs for.</w:t>
      </w:r>
    </w:p>
    <w:p w:rsidR="00000000" w:rsidDel="00000000" w:rsidP="00000000" w:rsidRDefault="00000000" w:rsidRPr="00000000">
      <w:pPr>
        <w:pStyle w:val="Heading2"/>
        <w:keepNext w:val="1"/>
        <w:keepLines w:val="1"/>
        <w:spacing w:before="200" w:lineRule="auto"/>
        <w:contextualSpacing w:val="0"/>
      </w:pPr>
      <w:bookmarkStart w:colFirst="0" w:colLast="0" w:name="h.xhojf82idebx" w:id="2"/>
      <w:bookmarkEnd w:id="2"/>
      <w:r w:rsidDel="00000000" w:rsidR="00000000" w:rsidRPr="00000000">
        <w:rPr>
          <w:rFonts w:ascii="Courier New" w:cs="Courier New" w:eastAsia="Courier New" w:hAnsi="Courier New"/>
          <w:rtl w:val="0"/>
        </w:rPr>
        <w:t xml:space="preserve">Disadvantages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One disadvantage of this approach is that there’s a risk that we generate stubs for classes that are not injected by the DI framework.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Example:</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main()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new Foo().hi();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@Injectable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class Foo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hi()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 this example we would generate stubs for Foo but we don’t need them.</w:t>
      </w:r>
    </w:p>
    <w:p w:rsidR="00000000" w:rsidDel="00000000" w:rsidP="00000000" w:rsidRDefault="00000000" w:rsidRPr="00000000">
      <w:pPr>
        <w:pStyle w:val="Heading1"/>
        <w:keepNext w:val="1"/>
        <w:keepLines w:val="1"/>
        <w:spacing w:before="200" w:lineRule="auto"/>
        <w:contextualSpacing w:val="0"/>
      </w:pPr>
      <w:bookmarkStart w:colFirst="0" w:colLast="0" w:name="h.temlqp7rk7nu" w:id="3"/>
      <w:bookmarkEnd w:id="3"/>
      <w:r w:rsidDel="00000000" w:rsidR="00000000" w:rsidRPr="00000000">
        <w:rPr>
          <w:rFonts w:ascii="Courier New" w:cs="Courier New" w:eastAsia="Courier New" w:hAnsi="Courier New"/>
          <w:rtl w:val="0"/>
        </w:rPr>
        <w:t xml:space="preserve">Proposal #2: </w:t>
      </w:r>
      <w:commentRangeStart w:id="7"/>
      <w:r w:rsidDel="00000000" w:rsidR="00000000" w:rsidRPr="00000000">
        <w:rPr>
          <w:rFonts w:ascii="Courier New" w:cs="Courier New" w:eastAsia="Courier New" w:hAnsi="Courier New"/>
          <w:rtl w:val="0"/>
        </w:rPr>
        <w:t xml:space="preserve">crawl @Component </w:t>
      </w:r>
      <w:commentRangeEnd w:id="7"/>
      <w:r w:rsidDel="00000000" w:rsidR="00000000" w:rsidRPr="00000000">
        <w:commentReference w:id="7"/>
      </w:r>
      <w:r w:rsidDel="00000000" w:rsidR="00000000" w:rsidRPr="00000000">
        <w:rPr>
          <w:rFonts w:ascii="Courier New" w:cs="Courier New" w:eastAsia="Courier New" w:hAnsi="Courier New"/>
          <w:rtl w:val="0"/>
        </w:rPr>
        <w:t xml:space="preserve">annotation tree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Example:</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bootstrap(MyApp);</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@Component(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services: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const Binding(Foo, toImplementation: FooBar),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const Binding(Baz, toImplemantation: BazImpl)</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@Template(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directives: [For]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class MyApp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MyApp(Foo foo);</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class FooBar implements Foo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FooBar(Baz baz)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commentRangeStart w:id="8"/>
            <w:commentRangeStart w:id="9"/>
            <w:commentRangeStart w:id="10"/>
            <w:commentRangeStart w:id="11"/>
            <w:commentRangeStart w:id="12"/>
            <w:r w:rsidDel="00000000" w:rsidR="00000000" w:rsidRPr="00000000">
              <w:rPr>
                <w:rFonts w:ascii="Courier New" w:cs="Courier New" w:eastAsia="Courier New" w:hAnsi="Courier New"/>
                <w:rtl w:val="0"/>
              </w:rPr>
              <w:t xml:space="preserve">@AngularApp(MyApp)</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myApp()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bootstrap(MyApp);</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ltz7haw16k6x" w:id="4"/>
      <w:bookmarkEnd w:id="4"/>
      <w:commentRangeStart w:id="13"/>
      <w:commentRangeStart w:id="14"/>
      <w:r w:rsidDel="00000000" w:rsidR="00000000" w:rsidRPr="00000000">
        <w:rPr>
          <w:rFonts w:ascii="Courier New" w:cs="Courier New" w:eastAsia="Courier New" w:hAnsi="Courier New"/>
          <w:rtl w:val="0"/>
        </w:rPr>
        <w:t xml:space="preserve">Disadvantages</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A disadvantage of this approach is that automatic type factory generation is available only to bindings created </w:t>
      </w:r>
      <w:commentRangeStart w:id="15"/>
      <w:commentRangeStart w:id="16"/>
      <w:r w:rsidDel="00000000" w:rsidR="00000000" w:rsidRPr="00000000">
        <w:rPr>
          <w:rFonts w:ascii="Courier New" w:cs="Courier New" w:eastAsia="Courier New" w:hAnsi="Courier New"/>
          <w:rtl w:val="0"/>
        </w:rPr>
        <w:t xml:space="preserve">declaratively</w:t>
      </w:r>
      <w:commentRangeEnd w:id="15"/>
      <w:r w:rsidDel="00000000" w:rsidR="00000000" w:rsidRPr="00000000">
        <w:commentReference w:id="15"/>
      </w:r>
      <w:commentRangeEnd w:id="16"/>
      <w:r w:rsidDel="00000000" w:rsidR="00000000" w:rsidRPr="00000000">
        <w:commentReference w:id="16"/>
      </w:r>
      <w:r w:rsidDel="00000000" w:rsidR="00000000" w:rsidRPr="00000000">
        <w:rPr>
          <w:rFonts w:ascii="Courier New" w:cs="Courier New" w:eastAsia="Courier New" w:hAnsi="Courier New"/>
          <w:rtl w:val="0"/>
        </w:rPr>
        <w:t xml:space="preserve"> (or maybe this is an advantage). Also, the </w:t>
      </w:r>
      <w:commentRangeStart w:id="17"/>
      <w:commentRangeStart w:id="18"/>
      <w:r w:rsidDel="00000000" w:rsidR="00000000" w:rsidRPr="00000000">
        <w:rPr>
          <w:rFonts w:ascii="Courier New" w:cs="Courier New" w:eastAsia="Courier New" w:hAnsi="Courier New"/>
          <w:rtl w:val="0"/>
        </w:rPr>
        <w:t xml:space="preserve">DI framework must be aware of the @Component and @Template annotations, which are Angular-specific</w:t>
      </w:r>
      <w:commentRangeEnd w:id="17"/>
      <w:r w:rsidDel="00000000" w:rsidR="00000000" w:rsidRPr="00000000">
        <w:commentReference w:id="17"/>
      </w:r>
      <w:commentRangeEnd w:id="18"/>
      <w:r w:rsidDel="00000000" w:rsidR="00000000" w:rsidRPr="00000000">
        <w:commentReference w:id="18"/>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Angular’s own internal classes, such as Compiler, are injectable, but not reachable via either @Component or @Template annotations. Those will have to be </w:t>
      </w:r>
      <w:commentRangeStart w:id="19"/>
      <w:r w:rsidDel="00000000" w:rsidR="00000000" w:rsidRPr="00000000">
        <w:rPr>
          <w:rFonts w:ascii="Courier New" w:cs="Courier New" w:eastAsia="Courier New" w:hAnsi="Courier New"/>
          <w:rtl w:val="0"/>
        </w:rPr>
        <w:t xml:space="preserve">special-cased</w:t>
      </w:r>
      <w:commentRangeEnd w:id="19"/>
      <w:r w:rsidDel="00000000" w:rsidR="00000000" w:rsidRPr="00000000">
        <w:commentReference w:id="19"/>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pStyle w:val="Heading1"/>
        <w:keepNext w:val="1"/>
        <w:keepLines w:val="1"/>
        <w:spacing w:before="200" w:lineRule="auto"/>
        <w:contextualSpacing w:val="0"/>
      </w:pPr>
      <w:bookmarkStart w:colFirst="0" w:colLast="0" w:name="h.h3i0w2ww0lr9" w:id="5"/>
      <w:bookmarkEnd w:id="5"/>
      <w:r w:rsidDel="00000000" w:rsidR="00000000" w:rsidRPr="00000000">
        <w:rPr>
          <w:rFonts w:ascii="Courier New" w:cs="Courier New" w:eastAsia="Courier New" w:hAnsi="Courier New"/>
          <w:rtl w:val="0"/>
        </w:rPr>
        <w:t xml:space="preserve">Other approaches</w:t>
      </w:r>
    </w:p>
    <w:p w:rsidR="00000000" w:rsidDel="00000000" w:rsidP="00000000" w:rsidRDefault="00000000" w:rsidRPr="00000000">
      <w:pPr>
        <w:numPr>
          <w:ilvl w:val="0"/>
          <w:numId w:val="2"/>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Retain all @Injectable classes</w:t>
      </w:r>
    </w:p>
    <w:p w:rsidR="00000000" w:rsidDel="00000000" w:rsidP="00000000" w:rsidRDefault="00000000" w:rsidRPr="00000000">
      <w:pPr>
        <w:numPr>
          <w:ilvl w:val="1"/>
          <w:numId w:val="2"/>
        </w:numP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This will retain classes at runtime that are not actually used by the application. In the example above Bar would be retained needlessly.</w:t>
      </w:r>
    </w:p>
    <w:p w:rsidR="00000000" w:rsidDel="00000000" w:rsidP="00000000" w:rsidRDefault="00000000" w:rsidRPr="00000000">
      <w:pPr>
        <w:numPr>
          <w:ilvl w:val="0"/>
          <w:numId w:val="2"/>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Extract type factories and annotations from classes that are used by the app.</w:t>
      </w:r>
    </w:p>
    <w:p w:rsidR="00000000" w:rsidDel="00000000" w:rsidP="00000000" w:rsidRDefault="00000000" w:rsidRPr="00000000">
      <w:pPr>
        <w:numPr>
          <w:ilvl w:val="1"/>
          <w:numId w:val="2"/>
        </w:numP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This one’s silly, but I just wanted to mention it.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iško Hevery" w:id="19" w:date="2015-03-19T11:36: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True, but that is relatively easy to solve.</w:t>
      </w:r>
    </w:p>
  </w:comment>
  <w:comment w:author="Miško Hevery" w:id="7" w:date="2015-03-19T11:37: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this is the only option to do proper tree shaking and deferred code loading.</w:t>
      </w:r>
    </w:p>
  </w:comment>
  <w:comment w:author="Radoslav Kirov" w:id="13" w:date="2015-03-19T04:20: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Angular internal classes - Compiler, etc are also injectable but not reachable through @Component annotations</w:t>
      </w:r>
    </w:p>
  </w:comment>
  <w:comment w:author="Yegor Jbanov" w:id="14" w:date="2015-03-19T04:20: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Good point.</w:t>
      </w:r>
    </w:p>
  </w:comment>
  <w:comment w:author="Radoslav Kirov" w:id="0" w:date="2015-03-20T04:13: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Would dependencies of Injectable be considered automatically Injectable or they would need their own annotation</w:t>
      </w:r>
    </w:p>
  </w:comment>
  <w:comment w:author="Miško Hevery" w:id="1" w:date="2015-03-19T11:32: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_Discussion marquée comme fermée_</w:t>
      </w:r>
    </w:p>
  </w:comment>
  <w:comment w:author="Miško Hevery" w:id="2" w:date="2015-03-19T11:32: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_Rouverte_</w:t>
      </w:r>
    </w:p>
  </w:comment>
  <w:comment w:author="Miško Hevery" w:id="3" w:date="2015-03-19T11:33: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They would need their own annotation since that is the only way to get TypeInformation in TypeScript</w:t>
      </w:r>
    </w:p>
  </w:comment>
  <w:comment w:author="Yegor Jbanov" w:id="4" w:date="2015-03-20T04:13: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My personal opinion is that classes should be _designed_ to be injectable. It would be risky to depend on something that doesn't know that it might be injected. An author of such class could alter the signature of its constructor in a way that DI cannot work with (e.g. optional/named parameters, etc). But if a class is designed to be injectable then the author is already aware of DI and it's a small amount of work to add the @Injectable annotation. There is also a readability and toolability benefit. A reader would look at a class and immediately see that it is designed to be injected. A tool could look at this annotation and verify that everything is in proper order.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Long story short, the annotation has benefits beyond TypeScript.</w:t>
      </w:r>
    </w:p>
  </w:comment>
  <w:comment w:author="Yegor Jbanov" w:id="8" w:date="2015-03-20T05:42: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+misko@google.com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+tjblasi@google.com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do you think of this way of guaranteeing that everything is indeed declarative? It also allows to dynamically choose between multiple apps. E.g.: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main()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if (blah)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myApp();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 else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myOtherApp();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@AngularApp(MyApp)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myApp()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@AngularApp(MyOtherApp)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myOtherApp() {}</w:t>
      </w:r>
    </w:p>
  </w:comment>
  <w:comment w:author="Timothy Blasi" w:id="9" w:date="2015-03-20T05:23: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response to this and your comment below):</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flexible are we regarding `bootstrap`? If we want to allow `myCustomBootstrap` as mentioned below, do we want to support this?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var bootstrapAlias = bootstrap;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bootstrapAlias(MyApp);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var boundBootstrap = bootstrap.bind(null, MyApp);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boundBootstrap();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var name = 'boot';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var func = window[name + 'strap'];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func.apply(null, [window['MyApp']]);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Going the other direction, if we don't support anything except `bootstrap(YourUnaliasedTypeHere)`, is that more restrictive than requiring the annotation?</w:t>
      </w:r>
    </w:p>
  </w:comment>
  <w:comment w:author="Miško Hevery" w:id="10" w:date="2015-03-20T05:34: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 far we have been avoiding the concept of Angular app. Any component can be the root, and thus act like an app.</w:t>
      </w:r>
    </w:p>
  </w:comment>
  <w:comment w:author="Yegor Jbanov" w:id="11" w:date="2015-03-20T05:37: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(sorry if you are getting multiple notifications, but it seems docs ate my previous comment)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prefer annotations, because: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We'd use annotations throughout rather than annotations here and function calls there.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 The restrictions on usage of the annotation doesn't need any extra explanations to first-time users. They are well understood. Restrictions on the usage of the `bootstrap` function would require more explanation in docs.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 The two are functionally equivalent.</w:t>
      </w:r>
    </w:p>
  </w:comment>
  <w:comment w:author="Yegor Jbanov" w:id="12" w:date="2015-03-20T05:42: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 A team member was asking me this morning about testing individual components without having to compile the entire application. This becomes very easy with the concept of "any component can be the root component". You do this: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my_button_test.dart: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@AngularApp(MyButton)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main()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bootstrapTestUtility(MyButton);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way `bootstrapTestUtility` doesn't can use non-literal Type reference. MyButton here is the root component for the test app and doesn't depend on the rest of the app.</w:t>
      </w:r>
    </w:p>
  </w:comment>
  <w:comment w:author="Miško Hevery" w:id="15" w:date="2015-03-20T04:22: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All bindings are declarative in Angular2, there is no other mode.</w:t>
      </w:r>
    </w:p>
  </w:comment>
  <w:comment w:author="Yegor Jbanov" w:id="16" w:date="2015-03-20T04:22: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That sound good to me. One issue is how we discover the top-level component. Relying on calls to the `bootstrap` is still imperative and also brittle. Here's an example where it breaks down: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main()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myCustomBoostrap(MyApp);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myCustomBoostrap(Type 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 do other things with 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bootstrap(t);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comment>
  <w:comment w:author="Miško Hevery" w:id="17" w:date="2015-03-20T04:19: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don't think this is true. All that DI cares about is a list of bindings. Where these bindings come from (in case of angular from @Compont) is not DI's concern</w:t>
      </w:r>
    </w:p>
  </w:comment>
  <w:comment w:author="Yegor Jbanov" w:id="18" w:date="2015-03-20T04:19: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term "binding" is not a DI term though. We could look at it as: DI needs a list of injectable types. The system of acquiring that list could be pluggable. Then Angular would simply provide a plugin that discovers injectables via its own annotations.</w:t>
      </w:r>
    </w:p>
  </w:comment>
  <w:comment w:author="Miško Hevery" w:id="5" w:date="2015-03-20T04:15: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Should't all these steps be Dart team? It is all part of the Dart transformer.</w:t>
      </w:r>
    </w:p>
  </w:comment>
  <w:comment w:author="Yegor Jbanov" w:id="6" w:date="2015-03-20T04:15: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transformer lives in angular/angular repo, the analyzer lives in the dart-lang repo. That's what I meant here. It is less important who _works_ on what than who _owns_ what.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