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D792D" w:rsidRPr="007A563F" w:rsidRDefault="0085747D" w:rsidP="007A563F">
      <w:pPr>
        <w:pStyle w:val="Titre1"/>
        <w:rPr>
          <w:lang w:val="fr-FR"/>
        </w:rPr>
      </w:pPr>
      <w:bookmarkStart w:id="0" w:name="_Toc442388873"/>
      <w:r w:rsidRPr="007A563F">
        <w:rPr>
          <w:lang w:val="fr-FR"/>
        </w:rPr>
        <w:t>Description des tests Fonctionnels</w:t>
      </w:r>
      <w:bookmarkEnd w:id="0"/>
    </w:p>
    <w:p w:rsidR="009D792D" w:rsidRPr="007A563F" w:rsidRDefault="009D792D">
      <w:pPr>
        <w:pStyle w:val="normal0"/>
        <w:spacing w:line="240" w:lineRule="auto"/>
        <w:rPr>
          <w:lang w:val="fr-FR"/>
        </w:rPr>
      </w:pP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</w:rPr>
        <w:id w:val="10363876"/>
        <w:docPartObj>
          <w:docPartGallery w:val="Table of Contents"/>
          <w:docPartUnique/>
        </w:docPartObj>
      </w:sdtPr>
      <w:sdtContent>
        <w:p w:rsidR="007A563F" w:rsidRDefault="007A563F">
          <w:pPr>
            <w:pStyle w:val="En-ttedetabledesmatires"/>
          </w:pPr>
          <w:r>
            <w:t>Table des matières</w:t>
          </w:r>
        </w:p>
        <w:p w:rsidR="007A563F" w:rsidRDefault="00FC349C">
          <w:pPr>
            <w:pStyle w:val="TM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 w:rsidR="007A563F">
            <w:instrText xml:space="preserve"> TOC \o "1-3" \h \z \u </w:instrText>
          </w:r>
          <w:r>
            <w:fldChar w:fldCharType="separate"/>
          </w:r>
          <w:hyperlink w:anchor="_Toc442388873" w:history="1">
            <w:r w:rsidR="007A563F" w:rsidRPr="00A82291">
              <w:rPr>
                <w:rStyle w:val="Lienhypertexte"/>
                <w:noProof/>
              </w:rPr>
              <w:t>Description des tests Fonctionnels</w:t>
            </w:r>
            <w:r w:rsidR="007A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563F">
              <w:rPr>
                <w:noProof/>
                <w:webHidden/>
              </w:rPr>
              <w:instrText xml:space="preserve"> PAGEREF _Toc442388873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4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3F" w:rsidRDefault="00FC349C">
          <w:pPr>
            <w:pStyle w:val="TM2"/>
            <w:tabs>
              <w:tab w:val="right" w:leader="dot" w:pos="9019"/>
            </w:tabs>
            <w:rPr>
              <w:noProof/>
            </w:rPr>
          </w:pPr>
          <w:hyperlink w:anchor="_Toc442388874" w:history="1">
            <w:r w:rsidR="007A563F" w:rsidRPr="00A82291">
              <w:rPr>
                <w:rStyle w:val="Lienhypertexte"/>
                <w:noProof/>
              </w:rPr>
              <w:t>I Introduction</w:t>
            </w:r>
            <w:r w:rsidR="007A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563F">
              <w:rPr>
                <w:noProof/>
                <w:webHidden/>
              </w:rPr>
              <w:instrText xml:space="preserve"> PAGEREF _Toc442388874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4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3F" w:rsidRDefault="00FC349C">
          <w:pPr>
            <w:pStyle w:val="TM2"/>
            <w:tabs>
              <w:tab w:val="right" w:leader="dot" w:pos="9019"/>
            </w:tabs>
            <w:rPr>
              <w:noProof/>
            </w:rPr>
          </w:pPr>
          <w:hyperlink w:anchor="_Toc442388875" w:history="1">
            <w:r w:rsidR="007A563F" w:rsidRPr="00A82291">
              <w:rPr>
                <w:rStyle w:val="Lienhypertexte"/>
                <w:noProof/>
              </w:rPr>
              <w:t>II Tests de l’insertion</w:t>
            </w:r>
            <w:r w:rsidR="007A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563F">
              <w:rPr>
                <w:noProof/>
                <w:webHidden/>
              </w:rPr>
              <w:instrText xml:space="preserve"> PAGEREF _Toc442388875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4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3F" w:rsidRDefault="00FC349C">
          <w:pPr>
            <w:pStyle w:val="TM3"/>
            <w:tabs>
              <w:tab w:val="right" w:leader="dot" w:pos="9019"/>
            </w:tabs>
            <w:rPr>
              <w:noProof/>
            </w:rPr>
          </w:pPr>
          <w:hyperlink w:anchor="_Toc442388876" w:history="1">
            <w:r w:rsidR="007A563F" w:rsidRPr="00A82291">
              <w:rPr>
                <w:rStyle w:val="Lienhypertexte"/>
                <w:noProof/>
              </w:rPr>
              <w:t>1) Tests de l’insertion (cas d’usage)</w:t>
            </w:r>
            <w:r w:rsidR="007A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563F">
              <w:rPr>
                <w:noProof/>
                <w:webHidden/>
              </w:rPr>
              <w:instrText xml:space="preserve"> PAGEREF _Toc442388876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4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3F" w:rsidRDefault="00FC349C">
          <w:pPr>
            <w:pStyle w:val="TM3"/>
            <w:tabs>
              <w:tab w:val="right" w:leader="dot" w:pos="9019"/>
            </w:tabs>
            <w:rPr>
              <w:noProof/>
            </w:rPr>
          </w:pPr>
          <w:hyperlink w:anchor="_Toc442388877" w:history="1">
            <w:r w:rsidR="007A563F" w:rsidRPr="00A82291">
              <w:rPr>
                <w:rStyle w:val="Lienhypertexte"/>
                <w:noProof/>
              </w:rPr>
              <w:t>2) Tests de l’insertion (cas critique)</w:t>
            </w:r>
            <w:r w:rsidR="007A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563F">
              <w:rPr>
                <w:noProof/>
                <w:webHidden/>
              </w:rPr>
              <w:instrText xml:space="preserve"> PAGEREF _Toc442388877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4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3F" w:rsidRDefault="00FC349C">
          <w:pPr>
            <w:pStyle w:val="TM3"/>
            <w:tabs>
              <w:tab w:val="right" w:leader="dot" w:pos="9019"/>
            </w:tabs>
            <w:rPr>
              <w:noProof/>
            </w:rPr>
          </w:pPr>
          <w:hyperlink w:anchor="_Toc442388878" w:history="1">
            <w:r w:rsidR="007A563F" w:rsidRPr="00A82291">
              <w:rPr>
                <w:rStyle w:val="Lienhypertexte"/>
                <w:noProof/>
              </w:rPr>
              <w:t>3) Tests de l’insertion (cas exeptionnel)</w:t>
            </w:r>
            <w:r w:rsidR="007A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563F">
              <w:rPr>
                <w:noProof/>
                <w:webHidden/>
              </w:rPr>
              <w:instrText xml:space="preserve"> PAGEREF _Toc442388878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4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3F" w:rsidRDefault="00FC349C">
          <w:pPr>
            <w:pStyle w:val="TM2"/>
            <w:tabs>
              <w:tab w:val="right" w:leader="dot" w:pos="9019"/>
            </w:tabs>
            <w:rPr>
              <w:noProof/>
            </w:rPr>
          </w:pPr>
          <w:hyperlink w:anchor="_Toc442388879" w:history="1">
            <w:r w:rsidR="007A563F" w:rsidRPr="00A82291">
              <w:rPr>
                <w:rStyle w:val="Lienhypertexte"/>
                <w:noProof/>
              </w:rPr>
              <w:t>II Tests de l’action HIT</w:t>
            </w:r>
            <w:r w:rsidR="007A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563F">
              <w:rPr>
                <w:noProof/>
                <w:webHidden/>
              </w:rPr>
              <w:instrText xml:space="preserve"> PAGEREF _Toc442388879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4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3F" w:rsidRDefault="00FC349C">
          <w:pPr>
            <w:pStyle w:val="TM2"/>
            <w:tabs>
              <w:tab w:val="right" w:leader="dot" w:pos="9019"/>
            </w:tabs>
            <w:rPr>
              <w:noProof/>
            </w:rPr>
          </w:pPr>
          <w:hyperlink w:anchor="_Toc442388880" w:history="1">
            <w:r w:rsidR="007A563F" w:rsidRPr="00A82291">
              <w:rPr>
                <w:rStyle w:val="Lienhypertexte"/>
                <w:noProof/>
              </w:rPr>
              <w:t>II Tests de l’action MOVE</w:t>
            </w:r>
            <w:r w:rsidR="007A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563F">
              <w:rPr>
                <w:noProof/>
                <w:webHidden/>
              </w:rPr>
              <w:instrText xml:space="preserve"> PAGEREF _Toc442388880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4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3F" w:rsidRDefault="00FC349C">
          <w:pPr>
            <w:pStyle w:val="TM2"/>
            <w:tabs>
              <w:tab w:val="right" w:leader="dot" w:pos="9019"/>
            </w:tabs>
            <w:rPr>
              <w:noProof/>
            </w:rPr>
          </w:pPr>
          <w:hyperlink w:anchor="_Toc442388881" w:history="1">
            <w:r w:rsidR="007A563F" w:rsidRPr="00A82291">
              <w:rPr>
                <w:rStyle w:val="Lienhypertexte"/>
                <w:noProof/>
              </w:rPr>
              <w:t>II Tests de l’action DELETE</w:t>
            </w:r>
            <w:r w:rsidR="007A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563F">
              <w:rPr>
                <w:noProof/>
                <w:webHidden/>
              </w:rPr>
              <w:instrText xml:space="preserve"> PAGEREF _Toc442388881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4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3F" w:rsidRDefault="00FC349C">
          <w:pPr>
            <w:pStyle w:val="TM2"/>
            <w:tabs>
              <w:tab w:val="right" w:leader="dot" w:pos="9019"/>
            </w:tabs>
            <w:rPr>
              <w:noProof/>
            </w:rPr>
          </w:pPr>
          <w:hyperlink w:anchor="_Toc442388882" w:history="1">
            <w:r w:rsidR="007A563F" w:rsidRPr="00A82291">
              <w:rPr>
                <w:rStyle w:val="Lienhypertexte"/>
                <w:noProof/>
              </w:rPr>
              <w:t>III Tests de l’action CLEAR</w:t>
            </w:r>
            <w:r w:rsidR="007A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563F">
              <w:rPr>
                <w:noProof/>
                <w:webHidden/>
              </w:rPr>
              <w:instrText xml:space="preserve"> PAGEREF _Toc442388882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4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3F" w:rsidRDefault="00FC349C">
          <w:pPr>
            <w:pStyle w:val="TM2"/>
            <w:tabs>
              <w:tab w:val="right" w:leader="dot" w:pos="9019"/>
            </w:tabs>
            <w:rPr>
              <w:noProof/>
            </w:rPr>
          </w:pPr>
          <w:hyperlink w:anchor="_Toc442388883" w:history="1">
            <w:r w:rsidR="007A563F" w:rsidRPr="00A82291">
              <w:rPr>
                <w:rStyle w:val="Lienhypertexte"/>
                <w:noProof/>
              </w:rPr>
              <w:t>IV Tests de l’action UNDO\REDO</w:t>
            </w:r>
            <w:r w:rsidR="007A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563F">
              <w:rPr>
                <w:noProof/>
                <w:webHidden/>
              </w:rPr>
              <w:instrText xml:space="preserve"> PAGEREF _Toc442388883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4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3F" w:rsidRDefault="00FC349C">
          <w:pPr>
            <w:pStyle w:val="TM2"/>
            <w:tabs>
              <w:tab w:val="right" w:leader="dot" w:pos="9019"/>
            </w:tabs>
            <w:rPr>
              <w:noProof/>
            </w:rPr>
          </w:pPr>
          <w:hyperlink w:anchor="_Toc442388884" w:history="1">
            <w:r w:rsidR="007A563F" w:rsidRPr="00A82291">
              <w:rPr>
                <w:rStyle w:val="Lienhypertexte"/>
                <w:noProof/>
              </w:rPr>
              <w:t>V Tests de l’action SAVE/LOAD</w:t>
            </w:r>
            <w:r w:rsidR="007A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563F">
              <w:rPr>
                <w:noProof/>
                <w:webHidden/>
              </w:rPr>
              <w:instrText xml:space="preserve"> PAGEREF _Toc442388884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4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3F" w:rsidRDefault="00FC349C">
          <w:r>
            <w:fldChar w:fldCharType="end"/>
          </w:r>
        </w:p>
      </w:sdtContent>
    </w:sdt>
    <w:p w:rsidR="009D792D" w:rsidRPr="007A563F" w:rsidRDefault="009D792D" w:rsidP="007A563F">
      <w:pPr>
        <w:rPr>
          <w:color w:val="auto"/>
        </w:rPr>
      </w:pPr>
    </w:p>
    <w:p w:rsidR="007A563F" w:rsidRPr="007A563F" w:rsidRDefault="007A563F">
      <w:pPr>
        <w:rPr>
          <w:color w:val="auto"/>
        </w:rPr>
      </w:pPr>
      <w:r w:rsidRPr="007A563F">
        <w:br w:type="page"/>
      </w:r>
    </w:p>
    <w:p w:rsidR="009D792D" w:rsidRPr="007A563F" w:rsidRDefault="00FC349C">
      <w:pPr>
        <w:pStyle w:val="normal0"/>
        <w:rPr>
          <w:lang w:val="fr-FR"/>
        </w:rPr>
      </w:pPr>
      <w:hyperlink w:anchor="h.89s8empldlek"/>
    </w:p>
    <w:p w:rsidR="009D792D" w:rsidRPr="007A563F" w:rsidRDefault="007A563F" w:rsidP="007A563F">
      <w:pPr>
        <w:pStyle w:val="Titre2"/>
        <w:rPr>
          <w:lang w:val="fr-FR"/>
        </w:rPr>
      </w:pPr>
      <w:bookmarkStart w:id="1" w:name="h.gjdgxs" w:colFirst="0" w:colLast="0"/>
      <w:bookmarkStart w:id="2" w:name="_Toc442388874"/>
      <w:bookmarkEnd w:id="1"/>
      <w:r w:rsidRPr="007A563F">
        <w:rPr>
          <w:lang w:val="fr-FR"/>
        </w:rPr>
        <w:t xml:space="preserve">I </w:t>
      </w:r>
      <w:r w:rsidR="0085747D" w:rsidRPr="007A563F">
        <w:rPr>
          <w:lang w:val="fr-FR"/>
        </w:rPr>
        <w:t>Introduction</w:t>
      </w:r>
      <w:bookmarkEnd w:id="2"/>
    </w:p>
    <w:p w:rsidR="007A563F" w:rsidRPr="007A563F" w:rsidRDefault="007A563F" w:rsidP="007A563F"/>
    <w:p w:rsidR="009D792D" w:rsidRPr="007A563F" w:rsidRDefault="0085747D">
      <w:pPr>
        <w:pStyle w:val="normal0"/>
        <w:spacing w:line="240" w:lineRule="auto"/>
        <w:ind w:left="0"/>
        <w:rPr>
          <w:lang w:val="fr-FR"/>
        </w:rPr>
      </w:pPr>
      <w:r w:rsidRPr="007A563F">
        <w:rPr>
          <w:color w:val="000000"/>
          <w:lang w:val="fr-FR"/>
        </w:rPr>
        <w:t>Tous les tests effectués ont été remis dans le fichier test.</w:t>
      </w:r>
      <w:r w:rsidR="007A563F" w:rsidRPr="007A563F">
        <w:rPr>
          <w:color w:val="000000"/>
          <w:lang w:val="fr-FR"/>
        </w:rPr>
        <w:t xml:space="preserve"> </w:t>
      </w:r>
      <w:r w:rsidRPr="007A563F">
        <w:rPr>
          <w:color w:val="000000"/>
          <w:lang w:val="fr-FR"/>
        </w:rPr>
        <w:t xml:space="preserve">Dans l’optique de mettre en place des tests de non regression nous avons modifié le script fourni pour obtenir des resultats aussi bien spécifique à chaque dossier que globaux. </w:t>
      </w:r>
    </w:p>
    <w:p w:rsidR="007A563F" w:rsidRPr="007A563F" w:rsidRDefault="007A563F" w:rsidP="007A563F">
      <w:pPr>
        <w:pStyle w:val="Titre2"/>
        <w:rPr>
          <w:lang w:val="fr-FR"/>
        </w:rPr>
      </w:pPr>
      <w:bookmarkStart w:id="3" w:name="h.30j0zll" w:colFirst="0" w:colLast="0"/>
      <w:bookmarkStart w:id="4" w:name="_Toc442388875"/>
      <w:bookmarkEnd w:id="3"/>
      <w:r w:rsidRPr="007A563F">
        <w:rPr>
          <w:lang w:val="fr-FR"/>
        </w:rPr>
        <w:t xml:space="preserve">II </w:t>
      </w:r>
      <w:r w:rsidR="0085747D" w:rsidRPr="007A563F">
        <w:rPr>
          <w:lang w:val="fr-FR"/>
        </w:rPr>
        <w:t>Tests de l’insertion</w:t>
      </w:r>
      <w:bookmarkEnd w:id="4"/>
    </w:p>
    <w:p w:rsidR="009D792D" w:rsidRPr="007A563F" w:rsidRDefault="007A563F" w:rsidP="007A563F">
      <w:pPr>
        <w:pStyle w:val="Titre3"/>
        <w:rPr>
          <w:lang w:val="fr-FR"/>
        </w:rPr>
      </w:pPr>
      <w:bookmarkStart w:id="5" w:name="h.1fob9te" w:colFirst="0" w:colLast="0"/>
      <w:bookmarkStart w:id="6" w:name="_Toc442388876"/>
      <w:bookmarkEnd w:id="5"/>
      <w:r w:rsidRPr="007A563F">
        <w:rPr>
          <w:lang w:val="fr-FR"/>
        </w:rPr>
        <w:t xml:space="preserve">1) </w:t>
      </w:r>
      <w:r w:rsidR="0085747D" w:rsidRPr="007A563F">
        <w:rPr>
          <w:lang w:val="fr-FR"/>
        </w:rPr>
        <w:t>Tests de l’insertion (cas d’usage)</w:t>
      </w:r>
      <w:bookmarkEnd w:id="6"/>
    </w:p>
    <w:p w:rsidR="007A563F" w:rsidRPr="007A563F" w:rsidRDefault="007A563F" w:rsidP="007A563F"/>
    <w:p w:rsidR="009D792D" w:rsidRPr="007A563F" w:rsidRDefault="0085747D">
      <w:pPr>
        <w:pStyle w:val="normal0"/>
        <w:spacing w:line="240" w:lineRule="auto"/>
        <w:ind w:left="0"/>
        <w:rPr>
          <w:lang w:val="fr-FR"/>
        </w:rPr>
      </w:pPr>
      <w:r w:rsidRPr="007A563F">
        <w:rPr>
          <w:color w:val="000000"/>
          <w:lang w:val="fr-FR"/>
        </w:rPr>
        <w:t>Premierement le</w:t>
      </w:r>
      <w:r w:rsidRPr="007A563F">
        <w:rPr>
          <w:b/>
          <w:color w:val="000000"/>
          <w:lang w:val="fr-FR"/>
        </w:rPr>
        <w:t xml:space="preserve"> DossierTest1</w:t>
      </w:r>
      <w:r w:rsidRPr="007A563F">
        <w:rPr>
          <w:color w:val="000000"/>
          <w:lang w:val="fr-FR"/>
        </w:rPr>
        <w:t xml:space="preserve"> tend à tester trois choses:</w:t>
      </w:r>
    </w:p>
    <w:p w:rsidR="009D792D" w:rsidRPr="007A563F" w:rsidRDefault="0085747D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color w:val="000000"/>
          <w:lang w:val="fr-FR"/>
        </w:rPr>
      </w:pPr>
      <w:r w:rsidRPr="007A563F">
        <w:rPr>
          <w:color w:val="000000"/>
          <w:lang w:val="fr-FR"/>
        </w:rPr>
        <w:t>L’insertion des figures classique.</w:t>
      </w:r>
    </w:p>
    <w:p w:rsidR="009D792D" w:rsidRPr="007A563F" w:rsidRDefault="0085747D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color w:val="000000"/>
          <w:lang w:val="fr-FR"/>
        </w:rPr>
      </w:pPr>
      <w:r w:rsidRPr="007A563F">
        <w:rPr>
          <w:color w:val="000000"/>
          <w:lang w:val="fr-FR"/>
        </w:rPr>
        <w:t>L’insertion de figure composé.</w:t>
      </w:r>
    </w:p>
    <w:p w:rsidR="009D792D" w:rsidRPr="007A563F" w:rsidRDefault="0085747D" w:rsidP="007A563F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lang w:val="fr-FR"/>
        </w:rPr>
      </w:pPr>
      <w:r w:rsidRPr="007A563F">
        <w:rPr>
          <w:color w:val="000000"/>
          <w:lang w:val="fr-FR"/>
        </w:rPr>
        <w:t>L’insertion recursive de composé qui contiennent des composés.</w:t>
      </w:r>
      <w:r w:rsidR="007A563F">
        <w:rPr>
          <w:color w:val="000000"/>
          <w:lang w:val="fr-FR"/>
        </w:rPr>
        <w:t xml:space="preserve"> </w:t>
      </w:r>
      <w:r w:rsidRPr="007A563F">
        <w:rPr>
          <w:color w:val="000000"/>
          <w:lang w:val="fr-FR"/>
        </w:rPr>
        <w:t>Ces différents tests sont regroupés dans des dossiers Test:</w:t>
      </w:r>
    </w:p>
    <w:p w:rsidR="009D792D" w:rsidRPr="007A563F" w:rsidRDefault="009D792D">
      <w:pPr>
        <w:pStyle w:val="normal0"/>
        <w:spacing w:line="331" w:lineRule="auto"/>
        <w:rPr>
          <w:lang w:val="fr-FR"/>
        </w:rPr>
      </w:pPr>
    </w:p>
    <w:tbl>
      <w:tblPr>
        <w:tblStyle w:val="a"/>
        <w:tblW w:w="10710" w:type="dxa"/>
        <w:tblInd w:w="-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55"/>
        <w:gridCol w:w="9555"/>
      </w:tblGrid>
      <w:tr w:rsidR="009D792D" w:rsidRPr="007A563F" w:rsidTr="009D792D">
        <w:trPr>
          <w:trHeight w:val="440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331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 xml:space="preserve"> Test1 </w:t>
            </w:r>
          </w:p>
        </w:tc>
        <w:tc>
          <w:tcPr>
            <w:tcW w:w="9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331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le programme insére correctement un rectangle.</w:t>
            </w:r>
          </w:p>
        </w:tc>
      </w:tr>
      <w:tr w:rsidR="009D792D" w:rsidRPr="007A563F" w:rsidTr="009D792D">
        <w:trPr>
          <w:trHeight w:val="440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331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Test2</w:t>
            </w:r>
          </w:p>
        </w:tc>
        <w:tc>
          <w:tcPr>
            <w:tcW w:w="9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331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le programme insére correctement un segment.</w:t>
            </w:r>
          </w:p>
        </w:tc>
      </w:tr>
      <w:tr w:rsidR="009D792D" w:rsidRPr="007A563F" w:rsidTr="009D792D">
        <w:trPr>
          <w:trHeight w:val="460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331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Test3</w:t>
            </w:r>
          </w:p>
        </w:tc>
        <w:tc>
          <w:tcPr>
            <w:tcW w:w="9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331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le programme insére correctement un polygone.</w:t>
            </w:r>
          </w:p>
        </w:tc>
      </w:tr>
      <w:tr w:rsidR="009D792D" w:rsidRPr="007A563F" w:rsidTr="009D792D">
        <w:trPr>
          <w:trHeight w:val="420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331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Test4</w:t>
            </w:r>
          </w:p>
        </w:tc>
        <w:tc>
          <w:tcPr>
            <w:tcW w:w="9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331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le programme construit et  insére correctement un composite du type réunion.</w:t>
            </w:r>
          </w:p>
        </w:tc>
      </w:tr>
      <w:tr w:rsidR="009D792D" w:rsidRPr="007A563F" w:rsidTr="009D792D">
        <w:trPr>
          <w:trHeight w:val="480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331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Test5</w:t>
            </w:r>
          </w:p>
        </w:tc>
        <w:tc>
          <w:tcPr>
            <w:tcW w:w="9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331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le programme construit et  insére correctement un composite du type intersection.</w:t>
            </w:r>
          </w:p>
        </w:tc>
      </w:tr>
      <w:tr w:rsidR="009D792D" w:rsidRPr="007A563F" w:rsidTr="009D792D">
        <w:trPr>
          <w:trHeight w:val="520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331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Test6</w:t>
            </w:r>
          </w:p>
        </w:tc>
        <w:tc>
          <w:tcPr>
            <w:tcW w:w="9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331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le programme construit et  insére correctement un composite composé lui même de composite.</w:t>
            </w:r>
          </w:p>
        </w:tc>
      </w:tr>
      <w:tr w:rsidR="009D792D" w:rsidRPr="007A563F" w:rsidTr="009D792D">
        <w:trPr>
          <w:trHeight w:val="780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331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Test7</w:t>
            </w:r>
          </w:p>
        </w:tc>
        <w:tc>
          <w:tcPr>
            <w:tcW w:w="9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331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le programme construit et  insére correctement un composite prend seulement en compte les figures réelement présentes dans le modèle.</w:t>
            </w:r>
          </w:p>
        </w:tc>
      </w:tr>
    </w:tbl>
    <w:p w:rsidR="007A563F" w:rsidRDefault="007A563F">
      <w:pPr>
        <w:pStyle w:val="normal0"/>
        <w:spacing w:line="240" w:lineRule="auto"/>
        <w:rPr>
          <w:lang w:val="fr-FR"/>
        </w:rPr>
      </w:pPr>
    </w:p>
    <w:p w:rsidR="007A563F" w:rsidRDefault="007A563F">
      <w:pPr>
        <w:rPr>
          <w:color w:val="auto"/>
        </w:rPr>
      </w:pPr>
      <w:r>
        <w:br w:type="page"/>
      </w:r>
    </w:p>
    <w:p w:rsidR="009D792D" w:rsidRPr="007A563F" w:rsidRDefault="009D792D">
      <w:pPr>
        <w:pStyle w:val="normal0"/>
        <w:spacing w:line="240" w:lineRule="auto"/>
        <w:rPr>
          <w:lang w:val="fr-FR"/>
        </w:rPr>
      </w:pPr>
    </w:p>
    <w:p w:rsidR="009D792D" w:rsidRDefault="007A563F" w:rsidP="007A563F">
      <w:pPr>
        <w:pStyle w:val="Titre3"/>
      </w:pPr>
      <w:bookmarkStart w:id="7" w:name="h.6yaruwiqq4av" w:colFirst="0" w:colLast="0"/>
      <w:bookmarkStart w:id="8" w:name="_Toc442388877"/>
      <w:bookmarkEnd w:id="7"/>
      <w:r>
        <w:t xml:space="preserve">2) </w:t>
      </w:r>
      <w:r w:rsidR="0085747D" w:rsidRPr="007A563F">
        <w:t>Tests de l’insertion (cas critique)</w:t>
      </w:r>
      <w:bookmarkEnd w:id="8"/>
    </w:p>
    <w:p w:rsidR="007A563F" w:rsidRPr="007A563F" w:rsidRDefault="007A563F" w:rsidP="007A563F">
      <w:pPr>
        <w:rPr>
          <w:lang w:val="en-US"/>
        </w:rPr>
      </w:pPr>
    </w:p>
    <w:p w:rsidR="009D792D" w:rsidRPr="007A563F" w:rsidRDefault="0085747D" w:rsidP="007A563F">
      <w:pPr>
        <w:ind w:left="0"/>
        <w:rPr>
          <w:color w:val="auto"/>
          <w:sz w:val="22"/>
        </w:rPr>
      </w:pPr>
      <w:bookmarkStart w:id="9" w:name="h.2zr2yw2ji9uc" w:colFirst="0" w:colLast="0"/>
      <w:bookmarkEnd w:id="9"/>
      <w:r w:rsidRPr="007A563F">
        <w:rPr>
          <w:color w:val="auto"/>
          <w:sz w:val="22"/>
        </w:rPr>
        <w:t>Le</w:t>
      </w:r>
      <w:r w:rsidRPr="007A563F">
        <w:rPr>
          <w:b/>
          <w:color w:val="auto"/>
          <w:sz w:val="22"/>
        </w:rPr>
        <w:t xml:space="preserve"> DossierTest2,</w:t>
      </w:r>
      <w:r w:rsidRPr="007A563F">
        <w:rPr>
          <w:color w:val="auto"/>
          <w:sz w:val="22"/>
        </w:rPr>
        <w:t xml:space="preserve"> teste que le programme intéragit correctement avec l’utilisateur si celui ci n’entre pas les valeurs attendu par le programme.Ces différents tests sont regroupés dans des dossiers Test:</w:t>
      </w:r>
    </w:p>
    <w:p w:rsidR="009D792D" w:rsidRPr="007A563F" w:rsidRDefault="009D792D">
      <w:pPr>
        <w:pStyle w:val="normal0"/>
        <w:spacing w:line="331" w:lineRule="auto"/>
        <w:rPr>
          <w:lang w:val="fr-FR"/>
        </w:rPr>
      </w:pPr>
    </w:p>
    <w:tbl>
      <w:tblPr>
        <w:tblStyle w:val="a0"/>
        <w:tblW w:w="10575" w:type="dxa"/>
        <w:tblInd w:w="-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25"/>
        <w:gridCol w:w="9450"/>
      </w:tblGrid>
      <w:tr w:rsidR="009D792D" w:rsidRPr="007A563F" w:rsidTr="009D792D">
        <w:trPr>
          <w:trHeight w:val="480"/>
        </w:trPr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10</w:t>
            </w:r>
          </w:p>
        </w:tc>
        <w:tc>
          <w:tcPr>
            <w:tcW w:w="9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le programme avertit l’utilisateur si le nom de la figure n’est pas renseigné.</w:t>
            </w:r>
          </w:p>
        </w:tc>
      </w:tr>
      <w:tr w:rsidR="009D792D" w:rsidRPr="007A563F" w:rsidTr="009D792D">
        <w:trPr>
          <w:trHeight w:val="420"/>
        </w:trPr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11</w:t>
            </w:r>
          </w:p>
        </w:tc>
        <w:tc>
          <w:tcPr>
            <w:tcW w:w="9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le programme avertit l’utilisateur si les entrées désignant des points ne sont pas correctes..</w:t>
            </w:r>
          </w:p>
        </w:tc>
      </w:tr>
      <w:tr w:rsidR="009D792D" w:rsidRPr="007A563F" w:rsidTr="009D792D"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12</w:t>
            </w:r>
          </w:p>
        </w:tc>
        <w:tc>
          <w:tcPr>
            <w:tcW w:w="9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le programme n’insére pas le polygone si celui-ci n’est pas convexe.</w:t>
            </w:r>
          </w:p>
        </w:tc>
      </w:tr>
      <w:tr w:rsidR="009D792D" w:rsidRPr="007A563F" w:rsidTr="009D792D">
        <w:trPr>
          <w:trHeight w:val="420"/>
        </w:trPr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13</w:t>
            </w:r>
          </w:p>
        </w:tc>
        <w:tc>
          <w:tcPr>
            <w:tcW w:w="9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le programme n’insére pas le polygone si celui-ci n’est pas strictement convexe.</w:t>
            </w:r>
          </w:p>
        </w:tc>
      </w:tr>
      <w:tr w:rsidR="009D792D" w:rsidRPr="007A563F" w:rsidTr="009D792D"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14</w:t>
            </w:r>
          </w:p>
        </w:tc>
        <w:tc>
          <w:tcPr>
            <w:tcW w:w="9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le programme n’insére pas le polygone si le nombre de points renseigné ne correspond pas à la définition donné dans le cahier des charges.</w:t>
            </w:r>
          </w:p>
        </w:tc>
      </w:tr>
      <w:tr w:rsidR="009D792D" w:rsidRPr="007A563F" w:rsidTr="009D792D">
        <w:trPr>
          <w:trHeight w:val="660"/>
        </w:trPr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15</w:t>
            </w:r>
          </w:p>
        </w:tc>
        <w:tc>
          <w:tcPr>
            <w:tcW w:w="9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le programme n’insére pas le rectangle si le nombre de points renseigné ne correspond pas à la définition donné dans le cahier des charges.</w:t>
            </w:r>
          </w:p>
        </w:tc>
      </w:tr>
      <w:tr w:rsidR="009D792D" w:rsidRPr="007A563F" w:rsidTr="009D792D">
        <w:trPr>
          <w:trHeight w:val="660"/>
        </w:trPr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16</w:t>
            </w:r>
          </w:p>
        </w:tc>
        <w:tc>
          <w:tcPr>
            <w:tcW w:w="9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le programme n’insére pas le segment si le nombre de points renseigné ne correspond pas à la définition donné dans le cahier des charges.</w:t>
            </w:r>
          </w:p>
        </w:tc>
      </w:tr>
      <w:tr w:rsidR="009D792D" w:rsidRPr="007A563F" w:rsidTr="009D792D">
        <w:trPr>
          <w:trHeight w:val="480"/>
        </w:trPr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17</w:t>
            </w:r>
          </w:p>
        </w:tc>
        <w:tc>
          <w:tcPr>
            <w:tcW w:w="9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le programme n’insére pas le composite si le nombre de figure est inférieur à deux figure.</w:t>
            </w:r>
          </w:p>
        </w:tc>
      </w:tr>
    </w:tbl>
    <w:p w:rsidR="009D792D" w:rsidRPr="007A563F" w:rsidRDefault="009D792D">
      <w:pPr>
        <w:pStyle w:val="normal0"/>
        <w:spacing w:line="331" w:lineRule="auto"/>
        <w:rPr>
          <w:lang w:val="fr-FR"/>
        </w:rPr>
      </w:pPr>
    </w:p>
    <w:p w:rsidR="009D792D" w:rsidRPr="007A563F" w:rsidRDefault="007A563F" w:rsidP="007A563F">
      <w:pPr>
        <w:pStyle w:val="Titre3"/>
      </w:pPr>
      <w:bookmarkStart w:id="10" w:name="h.2et92p0" w:colFirst="0" w:colLast="0"/>
      <w:bookmarkStart w:id="11" w:name="_Toc442388878"/>
      <w:bookmarkEnd w:id="10"/>
      <w:r>
        <w:t xml:space="preserve">3) </w:t>
      </w:r>
      <w:r w:rsidR="0085747D" w:rsidRPr="007A563F">
        <w:t>Tests de l’insertion (cas exeptionnel)</w:t>
      </w:r>
      <w:bookmarkEnd w:id="11"/>
    </w:p>
    <w:p w:rsidR="009D792D" w:rsidRPr="007A563F" w:rsidRDefault="009D792D">
      <w:pPr>
        <w:pStyle w:val="normal0"/>
        <w:spacing w:line="240" w:lineRule="auto"/>
        <w:ind w:left="0"/>
        <w:rPr>
          <w:lang w:val="fr-FR"/>
        </w:rPr>
      </w:pPr>
    </w:p>
    <w:p w:rsidR="009D792D" w:rsidRPr="007A563F" w:rsidRDefault="0085747D">
      <w:pPr>
        <w:pStyle w:val="normal0"/>
        <w:spacing w:line="240" w:lineRule="auto"/>
        <w:ind w:left="0"/>
        <w:rPr>
          <w:lang w:val="fr-FR"/>
        </w:rPr>
      </w:pPr>
      <w:r w:rsidRPr="007A563F">
        <w:rPr>
          <w:color w:val="000000"/>
          <w:lang w:val="fr-FR"/>
        </w:rPr>
        <w:t>Le</w:t>
      </w:r>
      <w:r w:rsidRPr="007A563F">
        <w:rPr>
          <w:b/>
          <w:color w:val="000000"/>
          <w:lang w:val="fr-FR"/>
        </w:rPr>
        <w:t xml:space="preserve"> DossierTest3 </w:t>
      </w:r>
      <w:r w:rsidRPr="007A563F">
        <w:rPr>
          <w:color w:val="000000"/>
          <w:lang w:val="fr-FR"/>
        </w:rPr>
        <w:t xml:space="preserve">teste les cas d’insertion exeptionnel détaillé dans le cahier des charges. </w:t>
      </w:r>
    </w:p>
    <w:p w:rsidR="009D792D" w:rsidRPr="007A563F" w:rsidRDefault="009D792D">
      <w:pPr>
        <w:pStyle w:val="normal0"/>
        <w:spacing w:line="331" w:lineRule="auto"/>
        <w:ind w:left="0"/>
        <w:rPr>
          <w:lang w:val="fr-FR"/>
        </w:rPr>
      </w:pPr>
    </w:p>
    <w:tbl>
      <w:tblPr>
        <w:tblStyle w:val="a1"/>
        <w:tblW w:w="10665" w:type="dxa"/>
        <w:tblInd w:w="-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5"/>
        <w:gridCol w:w="9600"/>
      </w:tblGrid>
      <w:tr w:rsidR="009D792D" w:rsidRPr="007A563F" w:rsidTr="009D792D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16</w:t>
            </w:r>
          </w:p>
        </w:tc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le nom est un identifiant unique de notre figure</w:t>
            </w:r>
          </w:p>
        </w:tc>
      </w:tr>
      <w:tr w:rsidR="009D792D" w:rsidRPr="007A563F" w:rsidTr="009D792D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17</w:t>
            </w:r>
          </w:p>
        </w:tc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 xml:space="preserve">Vérifie que les point du rectangle peuvent etre confondus </w:t>
            </w:r>
          </w:p>
        </w:tc>
      </w:tr>
      <w:tr w:rsidR="009D792D" w:rsidRPr="007A563F" w:rsidTr="009D792D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18</w:t>
            </w:r>
          </w:p>
        </w:tc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 xml:space="preserve">Vérifie que les point du segment peuvent etre confondus </w:t>
            </w:r>
          </w:p>
        </w:tc>
      </w:tr>
      <w:tr w:rsidR="009D792D" w:rsidRPr="007A563F" w:rsidTr="009D792D">
        <w:trPr>
          <w:trHeight w:val="520"/>
        </w:trPr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19</w:t>
            </w:r>
          </w:p>
        </w:tc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 xml:space="preserve">Vérifie que les point du polygone peuvent etre confondus </w:t>
            </w:r>
          </w:p>
        </w:tc>
      </w:tr>
    </w:tbl>
    <w:p w:rsidR="009D792D" w:rsidRPr="007A563F" w:rsidRDefault="009D792D">
      <w:pPr>
        <w:pStyle w:val="normal0"/>
        <w:spacing w:line="331" w:lineRule="auto"/>
        <w:rPr>
          <w:lang w:val="fr-FR"/>
        </w:rPr>
      </w:pPr>
    </w:p>
    <w:p w:rsidR="009D792D" w:rsidRPr="007A563F" w:rsidRDefault="007A563F" w:rsidP="007A563F">
      <w:pPr>
        <w:pStyle w:val="Titre2"/>
      </w:pPr>
      <w:bookmarkStart w:id="12" w:name="h.tyjcwt" w:colFirst="0" w:colLast="0"/>
      <w:bookmarkStart w:id="13" w:name="_Toc442388879"/>
      <w:bookmarkEnd w:id="12"/>
      <w:r>
        <w:lastRenderedPageBreak/>
        <w:t xml:space="preserve">II </w:t>
      </w:r>
      <w:r w:rsidR="0085747D" w:rsidRPr="007A563F">
        <w:t>Tests de l’action HIT</w:t>
      </w:r>
      <w:bookmarkEnd w:id="13"/>
    </w:p>
    <w:p w:rsidR="009D792D" w:rsidRPr="007A563F" w:rsidRDefault="009D792D">
      <w:pPr>
        <w:pStyle w:val="normal0"/>
        <w:rPr>
          <w:lang w:val="fr-FR"/>
        </w:rPr>
      </w:pPr>
    </w:p>
    <w:p w:rsidR="009D792D" w:rsidRPr="007A563F" w:rsidRDefault="0085747D" w:rsidP="007A563F">
      <w:pPr>
        <w:pStyle w:val="normal0"/>
        <w:spacing w:line="240" w:lineRule="auto"/>
        <w:ind w:left="0"/>
        <w:rPr>
          <w:lang w:val="fr-FR"/>
        </w:rPr>
      </w:pPr>
      <w:r w:rsidRPr="007A563F">
        <w:rPr>
          <w:color w:val="000000"/>
          <w:lang w:val="fr-FR"/>
        </w:rPr>
        <w:t>Le</w:t>
      </w:r>
      <w:r w:rsidRPr="007A563F">
        <w:rPr>
          <w:b/>
          <w:color w:val="000000"/>
          <w:lang w:val="fr-FR"/>
        </w:rPr>
        <w:t xml:space="preserve"> DossierTest4 </w:t>
      </w:r>
      <w:r w:rsidRPr="007A563F">
        <w:rPr>
          <w:color w:val="000000"/>
          <w:lang w:val="fr-FR"/>
        </w:rPr>
        <w:t>teste la commande HIT.</w:t>
      </w:r>
    </w:p>
    <w:p w:rsidR="009D792D" w:rsidRPr="007A563F" w:rsidRDefault="009D792D">
      <w:pPr>
        <w:pStyle w:val="normal0"/>
        <w:spacing w:line="240" w:lineRule="auto"/>
        <w:rPr>
          <w:lang w:val="fr-FR"/>
        </w:rPr>
      </w:pPr>
    </w:p>
    <w:tbl>
      <w:tblPr>
        <w:tblStyle w:val="a2"/>
        <w:tblW w:w="10740" w:type="dxa"/>
        <w:tblInd w:w="-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9765"/>
      </w:tblGrid>
      <w:tr w:rsidR="009D792D" w:rsidRPr="007A563F" w:rsidTr="009D792D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20</w:t>
            </w:r>
          </w:p>
        </w:tc>
        <w:tc>
          <w:tcPr>
            <w:tcW w:w="9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méthode EstDedans() fonctionne pour un point se situant sur l’arréte d’un polygone</w:t>
            </w:r>
          </w:p>
        </w:tc>
      </w:tr>
      <w:tr w:rsidR="009D792D" w:rsidRPr="007A563F" w:rsidTr="009D792D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21</w:t>
            </w:r>
          </w:p>
        </w:tc>
        <w:tc>
          <w:tcPr>
            <w:tcW w:w="9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méthode EstDedans() fonctionne pour un point se situant sur l’arréte d’un rectangle</w:t>
            </w:r>
          </w:p>
        </w:tc>
      </w:tr>
      <w:tr w:rsidR="009D792D" w:rsidRPr="007A563F" w:rsidTr="009D792D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22</w:t>
            </w:r>
          </w:p>
        </w:tc>
        <w:tc>
          <w:tcPr>
            <w:tcW w:w="9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méthode EstDedans() fonctionne pour un point se situant à l’intérieur d’un rectangle</w:t>
            </w:r>
          </w:p>
        </w:tc>
      </w:tr>
      <w:tr w:rsidR="009D792D" w:rsidRPr="007A563F" w:rsidTr="009D792D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23</w:t>
            </w:r>
          </w:p>
        </w:tc>
        <w:tc>
          <w:tcPr>
            <w:tcW w:w="9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méthode EstDedans() fonctionne pour un point se situant sur le segment</w:t>
            </w:r>
          </w:p>
        </w:tc>
      </w:tr>
      <w:tr w:rsidR="009D792D" w:rsidRPr="007A563F" w:rsidTr="009D792D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24</w:t>
            </w:r>
          </w:p>
        </w:tc>
        <w:tc>
          <w:tcPr>
            <w:tcW w:w="9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méthode EstDedans() fonctionne pour un point se situant à l’intérieur d’un polygone</w:t>
            </w:r>
          </w:p>
        </w:tc>
      </w:tr>
      <w:tr w:rsidR="009D792D" w:rsidRPr="007A563F" w:rsidTr="009D792D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25</w:t>
            </w:r>
          </w:p>
        </w:tc>
        <w:tc>
          <w:tcPr>
            <w:tcW w:w="9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méthode EstDedans() fonctionne pour un point se situant  à l’intérieur d’une intersection dont le point appartenient à l’ensemble des figures</w:t>
            </w:r>
          </w:p>
        </w:tc>
      </w:tr>
      <w:tr w:rsidR="009D792D" w:rsidRPr="007A563F" w:rsidTr="009D792D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26</w:t>
            </w:r>
          </w:p>
        </w:tc>
        <w:tc>
          <w:tcPr>
            <w:tcW w:w="9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méthode EstDedans() fonctionne pour un point se situant à l’intérieur d’une réunion dont le point appartenient à l’ensemble des figures</w:t>
            </w:r>
          </w:p>
        </w:tc>
      </w:tr>
      <w:tr w:rsidR="009D792D" w:rsidRPr="007A563F" w:rsidTr="009D792D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27</w:t>
            </w:r>
          </w:p>
        </w:tc>
        <w:tc>
          <w:tcPr>
            <w:tcW w:w="9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méthode EstDedans() fonctionne pour un point se situant sur l’arréte d’un réunion dont le point n’appartenient pas à l’ensemble des figures</w:t>
            </w:r>
          </w:p>
        </w:tc>
      </w:tr>
      <w:tr w:rsidR="009D792D" w:rsidRPr="007A563F" w:rsidTr="009D792D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28</w:t>
            </w:r>
          </w:p>
        </w:tc>
        <w:tc>
          <w:tcPr>
            <w:tcW w:w="9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méthode EstDedans() fonctionne pour un point se situant sur l’arréte d’une intersection dont le point n’appartenient pas à l’ensemble des figures</w:t>
            </w:r>
          </w:p>
        </w:tc>
      </w:tr>
    </w:tbl>
    <w:p w:rsidR="009D792D" w:rsidRPr="007A563F" w:rsidRDefault="007A563F" w:rsidP="007A563F">
      <w:pPr>
        <w:pStyle w:val="Titre2"/>
      </w:pPr>
      <w:bookmarkStart w:id="14" w:name="h.3dy6vkm" w:colFirst="0" w:colLast="0"/>
      <w:bookmarkStart w:id="15" w:name="h.1t3h5sf" w:colFirst="0" w:colLast="0"/>
      <w:bookmarkStart w:id="16" w:name="_Toc442388880"/>
      <w:bookmarkEnd w:id="14"/>
      <w:bookmarkEnd w:id="15"/>
      <w:r>
        <w:t xml:space="preserve">II </w:t>
      </w:r>
      <w:r w:rsidR="0085747D" w:rsidRPr="007A563F">
        <w:t>Tests de l’action MOVE</w:t>
      </w:r>
      <w:bookmarkEnd w:id="16"/>
    </w:p>
    <w:p w:rsidR="009D792D" w:rsidRPr="007A563F" w:rsidRDefault="009D792D">
      <w:pPr>
        <w:pStyle w:val="normal0"/>
        <w:spacing w:line="240" w:lineRule="auto"/>
        <w:rPr>
          <w:lang w:val="fr-FR"/>
        </w:rPr>
      </w:pPr>
    </w:p>
    <w:p w:rsidR="009D792D" w:rsidRPr="007A563F" w:rsidRDefault="0085747D" w:rsidP="007A563F">
      <w:pPr>
        <w:pStyle w:val="normal0"/>
        <w:spacing w:line="240" w:lineRule="auto"/>
        <w:ind w:left="0"/>
        <w:rPr>
          <w:lang w:val="fr-FR"/>
        </w:rPr>
      </w:pPr>
      <w:r w:rsidRPr="007A563F">
        <w:rPr>
          <w:color w:val="000000"/>
          <w:lang w:val="fr-FR"/>
        </w:rPr>
        <w:t>Le</w:t>
      </w:r>
      <w:r w:rsidRPr="007A563F">
        <w:rPr>
          <w:b/>
          <w:color w:val="000000"/>
          <w:lang w:val="fr-FR"/>
        </w:rPr>
        <w:t xml:space="preserve"> DossierTest5  </w:t>
      </w:r>
      <w:r w:rsidRPr="007A563F">
        <w:rPr>
          <w:color w:val="000000"/>
          <w:lang w:val="fr-FR"/>
        </w:rPr>
        <w:t>teste la commande MOVE.</w:t>
      </w:r>
    </w:p>
    <w:tbl>
      <w:tblPr>
        <w:tblStyle w:val="a3"/>
        <w:tblW w:w="10815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0"/>
        <w:gridCol w:w="9885"/>
      </w:tblGrid>
      <w:tr w:rsidR="009D792D" w:rsidRPr="007A563F" w:rsidTr="009D792D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29</w:t>
            </w:r>
          </w:p>
        </w:tc>
        <w:tc>
          <w:tcPr>
            <w:tcW w:w="9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commande MOVE fonctionne pour un rectangle</w:t>
            </w:r>
          </w:p>
        </w:tc>
      </w:tr>
      <w:tr w:rsidR="009D792D" w:rsidRPr="007A563F" w:rsidTr="009D792D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30</w:t>
            </w:r>
          </w:p>
        </w:tc>
        <w:tc>
          <w:tcPr>
            <w:tcW w:w="9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commande MOVE fonctionne pour un segment</w:t>
            </w:r>
          </w:p>
        </w:tc>
      </w:tr>
      <w:tr w:rsidR="009D792D" w:rsidRPr="007A563F" w:rsidTr="009D792D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31</w:t>
            </w:r>
          </w:p>
        </w:tc>
        <w:tc>
          <w:tcPr>
            <w:tcW w:w="9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commande MOVE fonctionne pour un polygone</w:t>
            </w:r>
          </w:p>
        </w:tc>
      </w:tr>
      <w:tr w:rsidR="009D792D" w:rsidRPr="007A563F" w:rsidTr="009D792D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32</w:t>
            </w:r>
          </w:p>
        </w:tc>
        <w:tc>
          <w:tcPr>
            <w:tcW w:w="9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 commande MOVE fonctionne pour une réunion, de plus le test nous permet de vérifier que la copie qui s’effectue pour créer le composite est effectivement profonde</w:t>
            </w:r>
          </w:p>
        </w:tc>
      </w:tr>
      <w:tr w:rsidR="009D792D" w:rsidRPr="007A563F" w:rsidTr="009D792D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33</w:t>
            </w:r>
          </w:p>
        </w:tc>
        <w:tc>
          <w:tcPr>
            <w:tcW w:w="9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commande MOVE fonctionne pour une intersection, de plus le test nous permet de vérifier que la copie qui s’effectue pour créer le composite est effectivement profonde</w:t>
            </w:r>
          </w:p>
        </w:tc>
      </w:tr>
    </w:tbl>
    <w:p w:rsidR="007A563F" w:rsidRDefault="007A563F">
      <w:pPr>
        <w:pStyle w:val="normal0"/>
        <w:spacing w:line="240" w:lineRule="auto"/>
        <w:rPr>
          <w:lang w:val="fr-FR"/>
        </w:rPr>
      </w:pPr>
    </w:p>
    <w:p w:rsidR="007A563F" w:rsidRDefault="007A563F">
      <w:pPr>
        <w:rPr>
          <w:color w:val="auto"/>
        </w:rPr>
      </w:pPr>
      <w:r>
        <w:br w:type="page"/>
      </w:r>
    </w:p>
    <w:p w:rsidR="009D792D" w:rsidRPr="007A563F" w:rsidRDefault="009D792D">
      <w:pPr>
        <w:pStyle w:val="normal0"/>
        <w:spacing w:line="240" w:lineRule="auto"/>
        <w:rPr>
          <w:lang w:val="fr-FR"/>
        </w:rPr>
      </w:pPr>
    </w:p>
    <w:p w:rsidR="009D792D" w:rsidRPr="007A563F" w:rsidRDefault="007A563F" w:rsidP="007A563F">
      <w:pPr>
        <w:pStyle w:val="Titre2"/>
      </w:pPr>
      <w:bookmarkStart w:id="17" w:name="h.4d34og8" w:colFirst="0" w:colLast="0"/>
      <w:bookmarkStart w:id="18" w:name="_Toc442388881"/>
      <w:bookmarkEnd w:id="17"/>
      <w:r>
        <w:t xml:space="preserve">II </w:t>
      </w:r>
      <w:r w:rsidR="0085747D" w:rsidRPr="007A563F">
        <w:t>Tests de l’action DELETE</w:t>
      </w:r>
      <w:bookmarkEnd w:id="18"/>
    </w:p>
    <w:p w:rsidR="009D792D" w:rsidRPr="007A563F" w:rsidRDefault="009D792D">
      <w:pPr>
        <w:pStyle w:val="normal0"/>
        <w:spacing w:line="240" w:lineRule="auto"/>
        <w:rPr>
          <w:lang w:val="fr-FR"/>
        </w:rPr>
      </w:pPr>
    </w:p>
    <w:p w:rsidR="009D792D" w:rsidRPr="007A563F" w:rsidRDefault="0085747D" w:rsidP="007A563F">
      <w:pPr>
        <w:pStyle w:val="normal0"/>
        <w:spacing w:line="240" w:lineRule="auto"/>
        <w:ind w:left="0"/>
        <w:rPr>
          <w:lang w:val="fr-FR"/>
        </w:rPr>
      </w:pPr>
      <w:r w:rsidRPr="007A563F">
        <w:rPr>
          <w:color w:val="000000"/>
          <w:lang w:val="fr-FR"/>
        </w:rPr>
        <w:t>Le</w:t>
      </w:r>
      <w:r w:rsidRPr="007A563F">
        <w:rPr>
          <w:b/>
          <w:color w:val="000000"/>
          <w:lang w:val="fr-FR"/>
        </w:rPr>
        <w:t xml:space="preserve"> DossierTest6  </w:t>
      </w:r>
      <w:r w:rsidRPr="007A563F">
        <w:rPr>
          <w:color w:val="000000"/>
          <w:lang w:val="fr-FR"/>
        </w:rPr>
        <w:t>teste la commande DELETE.</w:t>
      </w:r>
    </w:p>
    <w:tbl>
      <w:tblPr>
        <w:tblStyle w:val="a4"/>
        <w:tblW w:w="10770" w:type="dxa"/>
        <w:tblInd w:w="-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85"/>
        <w:gridCol w:w="9885"/>
      </w:tblGrid>
      <w:tr w:rsidR="009D792D" w:rsidRPr="007A563F" w:rsidTr="009D792D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34</w:t>
            </w:r>
          </w:p>
        </w:tc>
        <w:tc>
          <w:tcPr>
            <w:tcW w:w="9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commande DELETE fonctionne pour une figure réelement présentes dans le modéle.</w:t>
            </w:r>
          </w:p>
        </w:tc>
      </w:tr>
      <w:tr w:rsidR="009D792D" w:rsidRPr="007A563F" w:rsidTr="009D792D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35</w:t>
            </w:r>
          </w:p>
        </w:tc>
        <w:tc>
          <w:tcPr>
            <w:tcW w:w="9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commande DELETE uniquement la figure référencé par le nom placé en paramétre..</w:t>
            </w:r>
          </w:p>
        </w:tc>
      </w:tr>
      <w:tr w:rsidR="009D792D" w:rsidRPr="007A563F" w:rsidTr="009D792D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36</w:t>
            </w:r>
          </w:p>
        </w:tc>
        <w:tc>
          <w:tcPr>
            <w:tcW w:w="9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commande DELETE fonctionne pour un ensemble de figure présent dans le modèle.</w:t>
            </w:r>
          </w:p>
        </w:tc>
      </w:tr>
      <w:tr w:rsidR="009D792D" w:rsidRPr="007A563F" w:rsidTr="009D792D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37</w:t>
            </w:r>
          </w:p>
        </w:tc>
        <w:tc>
          <w:tcPr>
            <w:tcW w:w="9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commande DELETE prévient l’utilisateur si la figure n’est pas présente dans le modéle.</w:t>
            </w:r>
          </w:p>
        </w:tc>
      </w:tr>
      <w:tr w:rsidR="009D792D" w:rsidRPr="007A563F" w:rsidTr="009D792D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38</w:t>
            </w:r>
          </w:p>
        </w:tc>
        <w:tc>
          <w:tcPr>
            <w:tcW w:w="9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commande DELETE prévient l’utilisateur et ne supprime pas l’ensemble des figure si un nom référence une figure non présentes dans le modèle.</w:t>
            </w:r>
          </w:p>
        </w:tc>
      </w:tr>
    </w:tbl>
    <w:p w:rsidR="009D792D" w:rsidRPr="007A563F" w:rsidRDefault="009D792D">
      <w:pPr>
        <w:pStyle w:val="normal0"/>
        <w:spacing w:line="240" w:lineRule="auto"/>
        <w:rPr>
          <w:lang w:val="fr-FR"/>
        </w:rPr>
      </w:pPr>
    </w:p>
    <w:p w:rsidR="009D792D" w:rsidRPr="007A563F" w:rsidRDefault="007A563F" w:rsidP="007A563F">
      <w:pPr>
        <w:pStyle w:val="Titre2"/>
      </w:pPr>
      <w:bookmarkStart w:id="19" w:name="h.2s8eyo1" w:colFirst="0" w:colLast="0"/>
      <w:bookmarkStart w:id="20" w:name="_Toc442388882"/>
      <w:bookmarkEnd w:id="19"/>
      <w:r>
        <w:t xml:space="preserve">III </w:t>
      </w:r>
      <w:r w:rsidR="0085747D" w:rsidRPr="007A563F">
        <w:t>Tests de l’action CLEAR</w:t>
      </w:r>
      <w:bookmarkEnd w:id="20"/>
    </w:p>
    <w:p w:rsidR="009D792D" w:rsidRPr="007A563F" w:rsidRDefault="009D792D">
      <w:pPr>
        <w:pStyle w:val="normal0"/>
        <w:spacing w:line="240" w:lineRule="auto"/>
        <w:rPr>
          <w:lang w:val="fr-FR"/>
        </w:rPr>
      </w:pPr>
    </w:p>
    <w:p w:rsidR="009D792D" w:rsidRPr="007A563F" w:rsidRDefault="0085747D">
      <w:pPr>
        <w:pStyle w:val="normal0"/>
        <w:spacing w:line="240" w:lineRule="auto"/>
        <w:ind w:left="0"/>
        <w:rPr>
          <w:lang w:val="fr-FR"/>
        </w:rPr>
      </w:pPr>
      <w:r w:rsidRPr="007A563F">
        <w:rPr>
          <w:color w:val="000000"/>
          <w:lang w:val="fr-FR"/>
        </w:rPr>
        <w:t>Le</w:t>
      </w:r>
      <w:r w:rsidRPr="007A563F">
        <w:rPr>
          <w:b/>
          <w:color w:val="000000"/>
          <w:lang w:val="fr-FR"/>
        </w:rPr>
        <w:t xml:space="preserve"> DossierTest7  </w:t>
      </w:r>
      <w:r w:rsidRPr="007A563F">
        <w:rPr>
          <w:color w:val="000000"/>
          <w:lang w:val="fr-FR"/>
        </w:rPr>
        <w:t>teste la commande CLEAR.</w:t>
      </w:r>
    </w:p>
    <w:p w:rsidR="009D792D" w:rsidRPr="007A563F" w:rsidRDefault="009D792D">
      <w:pPr>
        <w:pStyle w:val="normal0"/>
        <w:spacing w:line="240" w:lineRule="auto"/>
        <w:rPr>
          <w:lang w:val="fr-FR"/>
        </w:rPr>
      </w:pPr>
    </w:p>
    <w:tbl>
      <w:tblPr>
        <w:tblStyle w:val="a5"/>
        <w:tblW w:w="10800" w:type="dxa"/>
        <w:tblInd w:w="-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9945"/>
      </w:tblGrid>
      <w:tr w:rsidR="009D792D" w:rsidRPr="007A563F" w:rsidTr="009D792D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39</w:t>
            </w:r>
          </w:p>
        </w:tc>
        <w:tc>
          <w:tcPr>
            <w:tcW w:w="9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commande CLEAR efface toutes les figures du modéle.</w:t>
            </w:r>
          </w:p>
        </w:tc>
      </w:tr>
      <w:tr w:rsidR="009D792D" w:rsidRPr="007A563F" w:rsidTr="009D792D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40</w:t>
            </w:r>
          </w:p>
        </w:tc>
        <w:tc>
          <w:tcPr>
            <w:tcW w:w="9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commande CLEAR avertit l’utilisateur si aucune figure n’est réelement présente dans le modéle.</w:t>
            </w:r>
          </w:p>
        </w:tc>
      </w:tr>
    </w:tbl>
    <w:p w:rsidR="00FD0CCB" w:rsidRDefault="00FD0CCB" w:rsidP="007A563F">
      <w:pPr>
        <w:pStyle w:val="Titre2"/>
      </w:pPr>
      <w:bookmarkStart w:id="21" w:name="h.uokqffb3krc3" w:colFirst="0" w:colLast="0"/>
      <w:bookmarkStart w:id="22" w:name="h.z62mkw5ffmoq" w:colFirst="0" w:colLast="0"/>
      <w:bookmarkStart w:id="23" w:name="h.oidupt36dv6t" w:colFirst="0" w:colLast="0"/>
      <w:bookmarkStart w:id="24" w:name="h.ojhokiehytbd" w:colFirst="0" w:colLast="0"/>
      <w:bookmarkStart w:id="25" w:name="h.64bex8asr3ri" w:colFirst="0" w:colLast="0"/>
      <w:bookmarkStart w:id="26" w:name="h.uwsstvcr9l1a" w:colFirst="0" w:colLast="0"/>
      <w:bookmarkEnd w:id="21"/>
      <w:bookmarkEnd w:id="22"/>
      <w:bookmarkEnd w:id="23"/>
      <w:bookmarkEnd w:id="24"/>
      <w:bookmarkEnd w:id="25"/>
      <w:bookmarkEnd w:id="26"/>
    </w:p>
    <w:p w:rsidR="00FD0CCB" w:rsidRDefault="00FD0CCB" w:rsidP="00FD0CCB">
      <w:pPr>
        <w:rPr>
          <w:rFonts w:asciiTheme="majorHAnsi" w:eastAsiaTheme="majorEastAsia" w:hAnsiTheme="majorHAnsi" w:cstheme="majorBidi"/>
          <w:color w:val="17365D" w:themeColor="text2" w:themeShade="BF"/>
          <w:spacing w:val="20"/>
          <w:sz w:val="28"/>
          <w:szCs w:val="28"/>
          <w:lang w:val="en-US"/>
        </w:rPr>
      </w:pPr>
      <w:r>
        <w:br w:type="page"/>
      </w:r>
    </w:p>
    <w:p w:rsidR="007A563F" w:rsidRDefault="007A563F" w:rsidP="007A563F">
      <w:pPr>
        <w:pStyle w:val="Titre2"/>
      </w:pPr>
    </w:p>
    <w:p w:rsidR="009D792D" w:rsidRPr="007A563F" w:rsidRDefault="007A563F" w:rsidP="007A563F">
      <w:pPr>
        <w:pStyle w:val="Titre2"/>
      </w:pPr>
      <w:bookmarkStart w:id="27" w:name="_Toc442388883"/>
      <w:r>
        <w:t xml:space="preserve">IV </w:t>
      </w:r>
      <w:r w:rsidR="0085747D" w:rsidRPr="007A563F">
        <w:t>Tests de l’action UNDO\REDO</w:t>
      </w:r>
      <w:bookmarkEnd w:id="27"/>
    </w:p>
    <w:p w:rsidR="009D792D" w:rsidRPr="007A563F" w:rsidRDefault="009D792D">
      <w:pPr>
        <w:pStyle w:val="normal0"/>
        <w:spacing w:line="240" w:lineRule="auto"/>
        <w:rPr>
          <w:lang w:val="fr-FR"/>
        </w:rPr>
      </w:pPr>
    </w:p>
    <w:p w:rsidR="009D792D" w:rsidRPr="007A563F" w:rsidRDefault="0085747D">
      <w:pPr>
        <w:pStyle w:val="normal0"/>
        <w:spacing w:line="240" w:lineRule="auto"/>
        <w:ind w:left="0"/>
        <w:rPr>
          <w:lang w:val="fr-FR"/>
        </w:rPr>
      </w:pPr>
      <w:r w:rsidRPr="007A563F">
        <w:rPr>
          <w:color w:val="000000"/>
          <w:lang w:val="fr-FR"/>
        </w:rPr>
        <w:t>Le</w:t>
      </w:r>
      <w:r w:rsidRPr="007A563F">
        <w:rPr>
          <w:b/>
          <w:color w:val="000000"/>
          <w:lang w:val="fr-FR"/>
        </w:rPr>
        <w:t xml:space="preserve"> DossierTest7  </w:t>
      </w:r>
      <w:r w:rsidRPr="007A563F">
        <w:rPr>
          <w:color w:val="000000"/>
          <w:lang w:val="fr-FR"/>
        </w:rPr>
        <w:t>teste la commande UNDO\REDO.</w:t>
      </w:r>
    </w:p>
    <w:p w:rsidR="009D792D" w:rsidRPr="007A563F" w:rsidRDefault="009D792D">
      <w:pPr>
        <w:pStyle w:val="normal0"/>
        <w:spacing w:line="240" w:lineRule="auto"/>
        <w:rPr>
          <w:lang w:val="fr-FR"/>
        </w:rPr>
      </w:pPr>
    </w:p>
    <w:tbl>
      <w:tblPr>
        <w:tblStyle w:val="a6"/>
        <w:tblW w:w="10710" w:type="dxa"/>
        <w:tblInd w:w="-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0"/>
        <w:gridCol w:w="9810"/>
      </w:tblGrid>
      <w:tr w:rsidR="009D792D" w:rsidRPr="007A563F" w:rsidTr="009D792D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41</w:t>
            </w:r>
          </w:p>
        </w:tc>
        <w:tc>
          <w:tcPr>
            <w:tcW w:w="9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commande UNDO avertit l’utilisateur si aucune action peut etre annulé.</w:t>
            </w:r>
          </w:p>
        </w:tc>
      </w:tr>
      <w:tr w:rsidR="009D792D" w:rsidRPr="007A563F" w:rsidTr="009D792D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42</w:t>
            </w:r>
          </w:p>
        </w:tc>
        <w:tc>
          <w:tcPr>
            <w:tcW w:w="9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commande REDO avertit l’utilisateur si aucune action peut etre effectué, précédement annulé.</w:t>
            </w:r>
          </w:p>
        </w:tc>
      </w:tr>
      <w:tr w:rsidR="009D792D" w:rsidRPr="007A563F" w:rsidTr="009D792D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43</w:t>
            </w:r>
          </w:p>
        </w:tc>
        <w:tc>
          <w:tcPr>
            <w:tcW w:w="9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création d’une figure peut etre undo ou redo.</w:t>
            </w:r>
          </w:p>
        </w:tc>
      </w:tr>
      <w:tr w:rsidR="009D792D" w:rsidRPr="007A563F" w:rsidTr="009D792D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44</w:t>
            </w:r>
          </w:p>
        </w:tc>
        <w:tc>
          <w:tcPr>
            <w:tcW w:w="9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création la commande DELETE  peut etre undo ou redo.</w:t>
            </w:r>
          </w:p>
        </w:tc>
      </w:tr>
      <w:tr w:rsidR="009D792D" w:rsidRPr="007A563F" w:rsidTr="009D792D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45</w:t>
            </w:r>
          </w:p>
        </w:tc>
        <w:tc>
          <w:tcPr>
            <w:tcW w:w="9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création la commande CLEAR  peut etre undo ou redo. (cf cahier des charges)</w:t>
            </w:r>
          </w:p>
        </w:tc>
      </w:tr>
      <w:tr w:rsidR="009D792D" w:rsidRPr="007A563F" w:rsidTr="009D792D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46</w:t>
            </w:r>
          </w:p>
        </w:tc>
        <w:tc>
          <w:tcPr>
            <w:tcW w:w="9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 xml:space="preserve">Vérifie que la série d’UNDO\REDO s’annule si une action modifie le modèle. </w:t>
            </w:r>
          </w:p>
        </w:tc>
      </w:tr>
      <w:tr w:rsidR="009D792D" w:rsidRPr="007A563F" w:rsidTr="009D792D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47</w:t>
            </w:r>
          </w:p>
        </w:tc>
        <w:tc>
          <w:tcPr>
            <w:tcW w:w="9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contextualSpacing w:val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création la commande MOVE peut etre undo ou redo.</w:t>
            </w:r>
          </w:p>
        </w:tc>
      </w:tr>
    </w:tbl>
    <w:p w:rsidR="009D792D" w:rsidRPr="007A563F" w:rsidRDefault="009D792D">
      <w:pPr>
        <w:pStyle w:val="normal0"/>
        <w:spacing w:line="240" w:lineRule="auto"/>
        <w:rPr>
          <w:lang w:val="fr-FR"/>
        </w:rPr>
      </w:pPr>
    </w:p>
    <w:p w:rsidR="009D792D" w:rsidRPr="007A563F" w:rsidRDefault="007A563F" w:rsidP="007A563F">
      <w:pPr>
        <w:pStyle w:val="Titre2"/>
      </w:pPr>
      <w:bookmarkStart w:id="28" w:name="h.k8jjw862x693" w:colFirst="0" w:colLast="0"/>
      <w:bookmarkStart w:id="29" w:name="_Toc442388884"/>
      <w:bookmarkEnd w:id="28"/>
      <w:r>
        <w:t xml:space="preserve">V </w:t>
      </w:r>
      <w:r w:rsidR="0085747D" w:rsidRPr="007A563F">
        <w:t>Tests de l’action SAVE/LOAD</w:t>
      </w:r>
      <w:bookmarkEnd w:id="29"/>
    </w:p>
    <w:p w:rsidR="009D792D" w:rsidRPr="007A563F" w:rsidRDefault="009D792D">
      <w:pPr>
        <w:pStyle w:val="normal0"/>
        <w:ind w:left="120"/>
        <w:rPr>
          <w:lang w:val="fr-FR"/>
        </w:rPr>
      </w:pPr>
    </w:p>
    <w:tbl>
      <w:tblPr>
        <w:tblStyle w:val="a7"/>
        <w:tblW w:w="10695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9675"/>
      </w:tblGrid>
      <w:tr w:rsidR="009D792D" w:rsidRPr="007A563F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48</w:t>
            </w:r>
          </w:p>
        </w:tc>
        <w:tc>
          <w:tcPr>
            <w:tcW w:w="9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 la commande SAVE fonctionne correctement.</w:t>
            </w:r>
          </w:p>
        </w:tc>
      </w:tr>
      <w:tr w:rsidR="009D792D" w:rsidRPr="007A563F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49</w:t>
            </w:r>
          </w:p>
        </w:tc>
        <w:tc>
          <w:tcPr>
            <w:tcW w:w="9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commande SAVEC fonctionne correctement.</w:t>
            </w:r>
          </w:p>
        </w:tc>
      </w:tr>
      <w:tr w:rsidR="009D792D" w:rsidRPr="007A563F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50</w:t>
            </w:r>
          </w:p>
        </w:tc>
        <w:tc>
          <w:tcPr>
            <w:tcW w:w="9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la commande LOAD fonctionne correctement.</w:t>
            </w:r>
          </w:p>
        </w:tc>
      </w:tr>
      <w:tr w:rsidR="009D792D" w:rsidRPr="007A563F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51</w:t>
            </w:r>
          </w:p>
        </w:tc>
        <w:tc>
          <w:tcPr>
            <w:tcW w:w="9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le programme avertis l’utilisateur si le sauvegarde du modéle est inutile car vide.</w:t>
            </w:r>
          </w:p>
        </w:tc>
      </w:tr>
      <w:tr w:rsidR="009D792D" w:rsidRPr="007A563F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widowControl w:val="0"/>
              <w:spacing w:line="240" w:lineRule="auto"/>
              <w:ind w:left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Test 52</w:t>
            </w:r>
          </w:p>
        </w:tc>
        <w:tc>
          <w:tcPr>
            <w:tcW w:w="9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2D" w:rsidRPr="007A563F" w:rsidRDefault="0085747D">
            <w:pPr>
              <w:pStyle w:val="normal0"/>
              <w:spacing w:line="240" w:lineRule="auto"/>
              <w:ind w:left="0"/>
              <w:rPr>
                <w:lang w:val="fr-FR"/>
              </w:rPr>
            </w:pPr>
            <w:r w:rsidRPr="007A563F">
              <w:rPr>
                <w:color w:val="000000"/>
                <w:lang w:val="fr-FR"/>
              </w:rPr>
              <w:t>Vérifie que le programme avertis l’utilisateur si le chargement d’un fichier est inexistant dans le dossier courant.</w:t>
            </w:r>
          </w:p>
        </w:tc>
      </w:tr>
    </w:tbl>
    <w:p w:rsidR="009D792D" w:rsidRPr="007A563F" w:rsidRDefault="009D792D">
      <w:pPr>
        <w:pStyle w:val="normal0"/>
        <w:ind w:left="120"/>
        <w:rPr>
          <w:lang w:val="fr-FR"/>
        </w:rPr>
      </w:pPr>
    </w:p>
    <w:sectPr w:rsidR="009D792D" w:rsidRPr="007A563F" w:rsidSect="007A563F">
      <w:headerReference w:type="default" r:id="rId8"/>
      <w:pgSz w:w="11909" w:h="16834"/>
      <w:pgMar w:top="1440" w:right="1440" w:bottom="1135" w:left="1440" w:header="426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A09" w:rsidRDefault="00827A09" w:rsidP="007A563F">
      <w:pPr>
        <w:spacing w:after="0" w:line="240" w:lineRule="auto"/>
      </w:pPr>
      <w:r>
        <w:separator/>
      </w:r>
    </w:p>
  </w:endnote>
  <w:endnote w:type="continuationSeparator" w:id="0">
    <w:p w:rsidR="00827A09" w:rsidRDefault="00827A09" w:rsidP="007A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A09" w:rsidRDefault="00827A09" w:rsidP="007A563F">
      <w:pPr>
        <w:spacing w:after="0" w:line="240" w:lineRule="auto"/>
      </w:pPr>
      <w:r>
        <w:separator/>
      </w:r>
    </w:p>
  </w:footnote>
  <w:footnote w:type="continuationSeparator" w:id="0">
    <w:p w:rsidR="00827A09" w:rsidRDefault="00827A09" w:rsidP="007A5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63F" w:rsidRPr="007A563F" w:rsidRDefault="007A563F" w:rsidP="007A563F">
    <w:pPr>
      <w:pStyle w:val="En-tte"/>
      <w:ind w:left="0"/>
      <w:rPr>
        <w:rFonts w:asciiTheme="majorHAnsi" w:hAnsiTheme="majorHAnsi"/>
        <w:color w:val="auto"/>
      </w:rPr>
    </w:pPr>
    <w:r w:rsidRPr="007A563F">
      <w:rPr>
        <w:noProof/>
        <w:color w:val="auto"/>
        <w:lang w:eastAsia="fr-FR" w:bidi="ar-S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5403215</wp:posOffset>
          </wp:positionH>
          <wp:positionV relativeFrom="paragraph">
            <wp:posOffset>-10160</wp:posOffset>
          </wp:positionV>
          <wp:extent cx="832485" cy="423545"/>
          <wp:effectExtent l="19050" t="0" r="5715" b="0"/>
          <wp:wrapNone/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2485" cy="423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7A563F">
      <w:rPr>
        <w:rFonts w:asciiTheme="majorHAnsi" w:hAnsiTheme="majorHAnsi"/>
        <w:color w:val="auto"/>
      </w:rPr>
      <w:t>Arnaud Dupeyrat</w:t>
    </w:r>
    <w:r w:rsidRPr="007A563F">
      <w:rPr>
        <w:rFonts w:asciiTheme="majorHAnsi" w:hAnsiTheme="majorHAnsi"/>
        <w:color w:val="auto"/>
      </w:rPr>
      <w:br/>
      <w:t>Antoine Breton</w:t>
    </w:r>
    <w:r w:rsidRPr="007A563F">
      <w:rPr>
        <w:rFonts w:asciiTheme="majorHAnsi" w:hAnsiTheme="majorHAnsi"/>
        <w:color w:val="auto"/>
      </w:rPr>
      <w:br/>
      <w:t xml:space="preserve">3IF - TP4 </w:t>
    </w:r>
    <w:r>
      <w:rPr>
        <w:rFonts w:asciiTheme="majorHAnsi" w:hAnsiTheme="majorHAnsi"/>
        <w:color w:val="auto"/>
      </w:rPr>
      <w:t>- Tests</w:t>
    </w:r>
  </w:p>
  <w:p w:rsidR="007A563F" w:rsidRPr="007A563F" w:rsidRDefault="007A563F">
    <w:pPr>
      <w:pStyle w:val="En-tte"/>
      <w:rPr>
        <w:color w:val="aut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17B81"/>
    <w:multiLevelType w:val="multilevel"/>
    <w:tmpl w:val="9A7AE9AA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D792D"/>
    <w:rsid w:val="000733EB"/>
    <w:rsid w:val="00113F5E"/>
    <w:rsid w:val="002E266F"/>
    <w:rsid w:val="00323BF4"/>
    <w:rsid w:val="005E7459"/>
    <w:rsid w:val="007A563F"/>
    <w:rsid w:val="00827A09"/>
    <w:rsid w:val="0085747D"/>
    <w:rsid w:val="009D792D"/>
    <w:rsid w:val="00FC349C"/>
    <w:rsid w:val="00FD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63F"/>
    <w:rPr>
      <w:color w:val="5A5A5A" w:themeColor="text1" w:themeTint="A5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A563F"/>
    <w:pPr>
      <w:spacing w:before="400" w:after="60" w:line="240" w:lineRule="auto"/>
      <w:ind w:left="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563F"/>
    <w:pPr>
      <w:spacing w:before="120" w:after="60" w:line="240" w:lineRule="auto"/>
      <w:ind w:left="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563F"/>
    <w:pPr>
      <w:spacing w:before="120" w:after="60" w:line="240" w:lineRule="auto"/>
      <w:ind w:left="72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A563F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  <w:lang w:val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A563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  <w:lang w:val="en-US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A563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563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563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563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9D792D"/>
  </w:style>
  <w:style w:type="table" w:customStyle="1" w:styleId="TableNormal">
    <w:name w:val="Table Normal"/>
    <w:rsid w:val="009D79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Normal"/>
    <w:link w:val="TitreCar"/>
    <w:uiPriority w:val="10"/>
    <w:qFormat/>
    <w:rsid w:val="007A563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7A563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table" w:customStyle="1" w:styleId="a">
    <w:basedOn w:val="TableNormal"/>
    <w:rsid w:val="009D792D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9D792D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9D792D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rsid w:val="009D792D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rsid w:val="009D792D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rsid w:val="009D792D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rsid w:val="009D792D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rsid w:val="009D792D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rsid w:val="009D792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A563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A563F"/>
  </w:style>
  <w:style w:type="paragraph" w:styleId="Pieddepage">
    <w:name w:val="footer"/>
    <w:basedOn w:val="Normal"/>
    <w:link w:val="PieddepageCar"/>
    <w:uiPriority w:val="99"/>
    <w:semiHidden/>
    <w:unhideWhenUsed/>
    <w:rsid w:val="007A563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A563F"/>
  </w:style>
  <w:style w:type="character" w:customStyle="1" w:styleId="Titre1Car">
    <w:name w:val="Titre 1 Car"/>
    <w:basedOn w:val="Policepardfaut"/>
    <w:link w:val="Titre1"/>
    <w:uiPriority w:val="9"/>
    <w:rsid w:val="007A563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563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A563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A563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rsid w:val="007A563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rsid w:val="007A563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7A563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7A563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7A563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A563F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7A563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ous-titreCar">
    <w:name w:val="Sous-titre Car"/>
    <w:basedOn w:val="Policepardfaut"/>
    <w:link w:val="Sous-titre"/>
    <w:uiPriority w:val="11"/>
    <w:rsid w:val="007A563F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aliases w:val="Titre Principale"/>
    <w:uiPriority w:val="22"/>
    <w:qFormat/>
    <w:rsid w:val="007A563F"/>
    <w:rPr>
      <w:b/>
      <w:bCs/>
      <w:spacing w:val="0"/>
    </w:rPr>
  </w:style>
  <w:style w:type="character" w:styleId="Accentuation">
    <w:name w:val="Emphasis"/>
    <w:uiPriority w:val="20"/>
    <w:qFormat/>
    <w:rsid w:val="007A563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link w:val="SansinterligneCar"/>
    <w:uiPriority w:val="1"/>
    <w:qFormat/>
    <w:rsid w:val="007A563F"/>
    <w:pPr>
      <w:spacing w:after="0" w:line="240" w:lineRule="auto"/>
    </w:pPr>
    <w:rPr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563F"/>
    <w:rPr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7A563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A563F"/>
    <w:rPr>
      <w:i/>
      <w:iCs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7A563F"/>
    <w:rPr>
      <w:i/>
      <w:iCs/>
      <w:color w:val="5A5A5A" w:themeColor="text1" w:themeTint="A5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563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563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Emphaseple">
    <w:name w:val="Subtle Emphasis"/>
    <w:uiPriority w:val="19"/>
    <w:qFormat/>
    <w:rsid w:val="007A563F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7A563F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7A563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7A563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7A563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563F"/>
    <w:pPr>
      <w:outlineLvl w:val="9"/>
    </w:pPr>
    <w:rPr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7A563F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7A563F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A563F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7A563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5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63F"/>
    <w:rPr>
      <w:rFonts w:ascii="Tahoma" w:hAnsi="Tahoma" w:cs="Tahoma"/>
      <w:color w:val="5A5A5A" w:themeColor="text1" w:themeTint="A5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72B50E-9DE9-4DB5-BBA6-85AEBE513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1246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</dc:creator>
  <cp:lastModifiedBy>Antoine</cp:lastModifiedBy>
  <cp:revision>5</cp:revision>
  <cp:lastPrinted>2016-02-04T22:44:00Z</cp:lastPrinted>
  <dcterms:created xsi:type="dcterms:W3CDTF">2016-02-04T21:41:00Z</dcterms:created>
  <dcterms:modified xsi:type="dcterms:W3CDTF">2016-02-04T22:44:00Z</dcterms:modified>
</cp:coreProperties>
</file>