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sz w:val="22"/>
          <w:szCs w:val="22"/>
        </w:rPr>
        <w:t xml:space="preserve">Título SEO: </w:t>
      </w:r>
      <w:r>
        <w:rPr>
          <w:rFonts w:ascii="Arial" w:cs="Arial" w:eastAsia="Arial" w:hAnsi="Arial"/>
          <w:sz w:val="22"/>
          <w:szCs w:val="22"/>
        </w:rPr>
        <w:t xml:space="preserve">Reestructuración industrial en España: el directivo interino como primera respuesta ante la crisis | Manager in Motion</w:t>
      </w:r>
    </w:p>
    <w:p>
      <w:pPr>
        <w:spacing w:after="80"/>
      </w:pPr>
      <w:r>
        <w:rPr>
          <w:rFonts w:ascii="Arial" w:cs="Arial" w:eastAsia="Arial" w:hAnsi="Arial"/>
          <w:b/>
          <w:bCs/>
          <w:sz w:val="22"/>
          <w:szCs w:val="22"/>
        </w:rPr>
        <w:t xml:space="preserve">Meta descripción: </w:t>
      </w:r>
      <w:r>
        <w:rPr>
          <w:rFonts w:ascii="Arial" w:cs="Arial" w:eastAsia="Arial" w:hAnsi="Arial"/>
          <w:sz w:val="22"/>
          <w:szCs w:val="22"/>
        </w:rPr>
        <w:t xml:space="preserve">El sector automoción e industrial español está bajo presión en 2026. Descubre por qué el directivo interino es la respuesta más rápida y eficaz ante una reestructuración.</w:t>
      </w:r>
    </w:p>
    <w:p>
      <w:pPr>
        <w:spacing w:after="360"/>
      </w:pPr>
      <w:r>
        <w:rPr>
          <w:rFonts w:ascii="Arial" w:cs="Arial" w:eastAsia="Arial" w:hAnsi="Arial"/>
          <w:b/>
          <w:bCs/>
          <w:sz w:val="22"/>
          <w:szCs w:val="22"/>
        </w:rPr>
        <w:t xml:space="preserve">URL slug: </w:t>
      </w:r>
      <w:r>
        <w:rPr>
          <w:rFonts w:ascii="Arial" w:cs="Arial" w:eastAsia="Arial" w:hAnsi="Arial"/>
          <w:sz w:val="22"/>
          <w:szCs w:val="22"/>
        </w:rPr>
        <w:t xml:space="preserve">/directivo-interino-reestructuracion-industrial-espana</w:t>
      </w:r>
    </w:p>
    <w:p>
      <w:pPr>
        <w:pStyle w:val="Heading1"/>
      </w:pPr>
      <w:r>
        <w:rPr>
          <w:rFonts w:ascii="Arial" w:cs="Arial" w:eastAsia="Arial" w:hAnsi="Arial"/>
          <w:b/>
          <w:bCs/>
          <w:color w:val="1F3864"/>
          <w:sz w:val="40"/>
          <w:szCs w:val="40"/>
        </w:rPr>
        <w:t xml:space="preserve">Reestructuración industrial en España: el directivo interino como primera respuesta ante la crisis</w:t>
      </w:r>
    </w:p>
    <w:p>
      <w:pPr>
        <w:spacing w:after="200"/>
      </w:pPr>
      <w:r>
        <w:rPr>
          <w:rFonts w:ascii="Arial" w:cs="Arial" w:eastAsia="Arial" w:hAnsi="Arial"/>
          <w:sz w:val="24"/>
          <w:szCs w:val="24"/>
        </w:rPr>
        <w:t xml:space="preserve">El 20% de los directivos del sector automoción en España prevé una caída de facturación en 2026. En el sector industrial y químico, ese porcentaje llega al 17%. Son datos de una encuesta a más de 1.200 directivos en 23 sectores que dibujan un escenario en el que la presión ya no es especulativa: es estructural.</w:t>
      </w:r>
    </w:p>
    <w:p>
      <w:pPr>
        <w:spacing w:after="280"/>
      </w:pPr>
      <w:r>
        <w:rPr>
          <w:rFonts w:ascii="Arial" w:cs="Arial" w:eastAsia="Arial" w:hAnsi="Arial"/>
          <w:sz w:val="24"/>
          <w:szCs w:val="24"/>
        </w:rPr>
        <w:t xml:space="preserve">La pregunta que determina el desempeño en los próximos doce meses no es si llegará la presión, sino qué decisión directiva se toma primero cuando los indicadores operativos comienzan a deteriorarse. En los mercados europeos más maduros, la respuesta tiene nombre: interim management. Un mecanismo que combina velocidad de incorporación, experiencia contrastada de ejecución y ausencia de coste fijo en el momento en que la agilidad más importa.</w:t>
      </w:r>
    </w:p>
    <w:p>
      <w:pPr>
        <w:pStyle w:val="Heading2"/>
      </w:pPr>
      <w:r>
        <w:rPr>
          <w:rFonts w:ascii="Arial" w:cs="Arial" w:eastAsia="Arial" w:hAnsi="Arial"/>
          <w:b/>
          <w:bCs/>
          <w:color w:val="2E75B6"/>
          <w:sz w:val="30"/>
          <w:szCs w:val="30"/>
        </w:rPr>
        <w:t xml:space="preserve">La industria española bajo presión: lo que los datos confirman en 2026</w:t>
      </w:r>
    </w:p>
    <w:p>
      <w:pPr>
        <w:spacing w:after="200"/>
      </w:pPr>
      <w:r>
        <w:rPr>
          <w:rFonts w:ascii="Arial" w:cs="Arial" w:eastAsia="Arial" w:hAnsi="Arial"/>
          <w:sz w:val="24"/>
          <w:szCs w:val="24"/>
        </w:rPr>
        <w:t xml:space="preserve">El sector automoción es el más pesimista de los 23 analizados: uno de cada cinco directivos prevé contracción de ingresos este año, frente a uno de cada diez en el conjunto de la muestra. El sector industrial y químico, con un 17%, completa un panorama de vulnerabilidad que los presidentes y CEOs de las empresas afectadas ya conocen de cerca.</w:t>
      </w:r>
    </w:p>
    <w:p>
      <w:pPr>
        <w:spacing w:after="280"/>
      </w:pPr>
      <w:r>
        <w:rPr>
          <w:rFonts w:ascii="Arial" w:cs="Arial" w:eastAsia="Arial" w:hAnsi="Arial"/>
          <w:sz w:val="24"/>
          <w:szCs w:val="24"/>
        </w:rPr>
        <w:t xml:space="preserve">El comportamiento del mercado alemán de interim management anticipa con claridad lo que España está empezando a vivir. En Alemania, el sector automoción ha caído del primer al cuarto puesto en demanda de mandatos —del 11,6% al 7,9% del total de misiones—. Una primera lectura sugeriría reducción de demanda. La interpretación correcta es la contraria: los mandatos han cambiado de naturaleza. Los perfiles de crecimiento han cedido paso a misiones urgentes de turnaround y reestructuración. El desplazamiento que ya se documenta en el mercado alemán —valorado en 2.700 millones de euros con más de 12.500 managers activos— será la tónica en España en los próximos seis a doce meses.</w:t>
      </w:r>
    </w:p>
    <w:p>
      <w:pPr>
        <w:pStyle w:val="Heading2"/>
      </w:pPr>
      <w:r>
        <w:rPr>
          <w:rFonts w:ascii="Arial" w:cs="Arial" w:eastAsia="Arial" w:hAnsi="Arial"/>
          <w:b/>
          <w:bCs/>
          <w:color w:val="2E75B6"/>
          <w:sz w:val="30"/>
          <w:szCs w:val="30"/>
        </w:rPr>
        <w:t xml:space="preserve">Los tres errores que retrasan la recuperación — y cómo evitarlos</w:t>
      </w:r>
    </w:p>
    <w:p>
      <w:pPr>
        <w:spacing w:after="200"/>
      </w:pPr>
      <w:r>
        <w:rPr>
          <w:rFonts w:ascii="Arial" w:cs="Arial" w:eastAsia="Arial" w:hAnsi="Arial"/>
          <w:sz w:val="24"/>
          <w:szCs w:val="24"/>
        </w:rPr>
        <w:t xml:space="preserve">Cuando la presión operativa escala, las empresas industriales cometen con frecuencia los mismos errores. No por negligencia, sino porque los mecanismos de respuesta más eficaces no siempre se consideran con suficiente rapidez.</w:t>
      </w:r>
    </w:p>
    <w:p>
      <w:pPr>
        <w:spacing w:after="160" w:before="80"/>
      </w:pPr>
      <w:r>
        <w:rPr>
          <w:rFonts w:ascii="Arial" w:cs="Arial" w:eastAsia="Arial" w:hAnsi="Arial"/>
          <w:b/>
          <w:bCs/>
          <w:sz w:val="24"/>
          <w:szCs w:val="24"/>
        </w:rPr>
        <w:t xml:space="preserve">El primero es esperar a que la crisis sea financieramente visible para actuar.</w:t>
      </w:r>
      <w:r>
        <w:rPr>
          <w:rFonts w:ascii="Arial" w:cs="Arial" w:eastAsia="Arial" w:hAnsi="Arial"/>
          <w:sz w:val="24"/>
          <w:szCs w:val="24"/>
        </w:rPr>
        <w:t xml:space="preserve"> Los indicadores operativos —productividad, rotación de inventario, costes de no calidad, niveles de servicio— se deterioran semanas o meses antes de que el P&amp;L lo refleje. Actuar cuando el balance ya acusa el impacto significa perder ventana de maniobra. El marco preventivo de la Ley 16/2022 de reestructuración empresarial existe precisamente para facilitar la actuación anticipada, antes de que la situación escale a niveles que reduzcan las opciones disponibles.</w:t>
      </w:r>
    </w:p>
    <w:p>
      <w:pPr>
        <w:spacing w:after="160" w:before="80"/>
      </w:pPr>
      <w:r>
        <w:rPr>
          <w:rFonts w:ascii="Arial" w:cs="Arial" w:eastAsia="Arial" w:hAnsi="Arial"/>
          <w:b/>
          <w:bCs/>
          <w:sz w:val="24"/>
          <w:szCs w:val="24"/>
        </w:rPr>
        <w:t xml:space="preserve">El segundo es cargar el peso de la reestructuración sobre el equipo directivo existente.</w:t>
      </w:r>
      <w:r>
        <w:rPr>
          <w:rFonts w:ascii="Arial" w:cs="Arial" w:eastAsia="Arial" w:hAnsi="Arial"/>
          <w:sz w:val="24"/>
          <w:szCs w:val="24"/>
        </w:rPr>
        <w:t xml:space="preserve"> No se trata de cuestionar la competencia del equipo: se trata de reconocer una realidad estructural. Quienes gestionaron el modelo que entró en crisis tienen vínculos con ese modelo. Un interim manager llega sin agenda política interna, sin compromisos con las estructuras previas y con el único objetivo de ejecutar el plan acordado con la propiedad o el consejo de administración.</w:t>
      </w:r>
    </w:p>
    <w:p>
      <w:pPr>
        <w:spacing w:after="160" w:before="80"/>
      </w:pPr>
      <w:r>
        <w:rPr>
          <w:rFonts w:ascii="Arial" w:cs="Arial" w:eastAsia="Arial" w:hAnsi="Arial"/>
          <w:b/>
          <w:bCs/>
          <w:sz w:val="24"/>
          <w:szCs w:val="24"/>
        </w:rPr>
        <w:t xml:space="preserve">El tercero es lanzar un proceso de selección ejecutiva cuando el tiempo no está de su lado.</w:t>
      </w:r>
      <w:r>
        <w:rPr>
          <w:rFonts w:ascii="Arial" w:cs="Arial" w:eastAsia="Arial" w:hAnsi="Arial"/>
          <w:sz w:val="24"/>
          <w:szCs w:val="24"/>
        </w:rPr>
        <w:t xml:space="preserve"> Encontrar un director de operaciones o un director financiero de perfil senior mediante búsqueda ejecutiva convencional tarda entre cuatro y seis meses de media. Una reestructuración industrial no espera. Un interim manager puede estar incorporado y operativo en menos de diez días desde la primera conversación.</w:t>
      </w:r>
    </w:p>
    <w:p>
      <w:pPr>
        <w:spacing w:after="280"/>
      </w:pPr>
      <w:r>
        <w:rPr>
          <w:rFonts w:ascii="Arial" w:cs="Arial" w:eastAsia="Arial" w:hAnsi="Arial"/>
          <w:sz w:val="24"/>
          <w:szCs w:val="24"/>
        </w:rPr>
        <w:t xml:space="preserve">La diferencia entre ambas opciones no es solo de coste: es de oportunidad. Cada semana sin liderazgo directivo adecuado en una reestructuración tiene un coste real en moral de equipo, en capacidad de negociación con acreedores y en opciones estratégicas disponibles.</w:t>
      </w:r>
    </w:p>
    <w:p>
      <w:pPr>
        <w:pStyle w:val="Heading2"/>
      </w:pPr>
      <w:r>
        <w:rPr>
          <w:rFonts w:ascii="Arial" w:cs="Arial" w:eastAsia="Arial" w:hAnsi="Arial"/>
          <w:b/>
          <w:bCs/>
          <w:color w:val="2E75B6"/>
          <w:sz w:val="30"/>
          <w:szCs w:val="30"/>
        </w:rPr>
        <w:t xml:space="preserve">El perfil que marca la diferencia — y el momento de actuar</w:t>
      </w:r>
    </w:p>
    <w:p>
      <w:pPr>
        <w:spacing w:after="200"/>
      </w:pPr>
      <w:r>
        <w:rPr>
          <w:rFonts w:ascii="Arial" w:cs="Arial" w:eastAsia="Arial" w:hAnsi="Arial"/>
          <w:sz w:val="24"/>
          <w:szCs w:val="24"/>
        </w:rPr>
        <w:t xml:space="preserve">No todo perfil directivo externo es adecuado para liderar una reestructuración industrial. El interim management en contextos de turnaround exige una combinación específica que va más allá de la experiencia sectorial general.</w:t>
      </w:r>
    </w:p>
    <w:p>
      <w:pPr>
        <w:spacing w:after="200"/>
      </w:pPr>
      <w:r>
        <w:rPr>
          <w:rFonts w:ascii="Arial" w:cs="Arial" w:eastAsia="Arial" w:hAnsi="Arial"/>
          <w:sz w:val="24"/>
          <w:szCs w:val="24"/>
        </w:rPr>
        <w:t xml:space="preserve">Las condiciones no negociables son tres: historial verificable en reestructuraciones industriales —con resultados documentados, no teóricos—, capacidad de liderazgo de equipos bajo presión, y dominio del control de gestión y del cash flow en situaciones de crisis. En el contexto español, a estas se añade el conocimiento operativo del marco legal preventivo que establece la normativa vigente de reestructuración empresarial.</w:t>
      </w:r>
    </w:p>
    <w:p>
      <w:pPr>
        <w:spacing w:after="200"/>
      </w:pPr>
      <w:r>
        <w:rPr>
          <w:rFonts w:ascii="Arial" w:cs="Arial" w:eastAsia="Arial" w:hAnsi="Arial"/>
          <w:sz w:val="24"/>
          <w:szCs w:val="24"/>
        </w:rPr>
        <w:t xml:space="preserve">En los mercados maduros de interim management, la evidencia apunta a que la experiencia sectorial sola ya no es criterio suficiente. Lo que diferencia al perfil de mayor impacto es la combinación de competencia transformacional y experiencia de ejecución real. Los perfiles más demandados en misiones de turnaround industrial son el interim COO con historial en empresas del sector automoción y el interim CFO con experiencia documentada en procesos de reestructuración preventiva.</w:t>
      </w:r>
    </w:p>
    <w:p>
      <w:pPr>
        <w:spacing w:after="200"/>
      </w:pPr>
      <w:r>
        <w:rPr>
          <w:rFonts w:ascii="Arial" w:cs="Arial" w:eastAsia="Arial" w:hAnsi="Arial"/>
          <w:sz w:val="24"/>
          <w:szCs w:val="24"/>
        </w:rPr>
        <w:t xml:space="preserve">La estructura de coste de una misión de este tipo es diferente a la de un directivo en plantilla: sin costes de estructura fija, sin bonus, sin indemnización potencial. La tarifa se acuerda por jornada para un mandato de inicio y fin definidos, con métricas de éxito establecidas desde el primer día. En el mercado europeo de referencia, la tarifa media para mandatos de alta complejidad se sitúa en torno a los 1.300 euros por jornada.</w:t>
      </w:r>
    </w:p>
    <w:p>
      <w:pPr>
        <w:spacing w:after="200"/>
      </w:pPr>
      <w:r>
        <w:rPr>
          <w:rFonts w:ascii="Arial" w:cs="Arial" w:eastAsia="Arial" w:hAnsi="Arial"/>
          <w:sz w:val="24"/>
          <w:szCs w:val="24"/>
        </w:rPr>
        <w:t xml:space="preserve">El momento de actuar no es cuando la crisis ya se ha instalado. Es cuando los primeros indicadores operativos empiezan a deteriorarse y la empresa todavía tiene margen de maniobra real.</w:t>
      </w:r>
    </w:p>
    <w:p>
      <w:pPr>
        <w:spacing w:after="360"/>
      </w:pPr>
      <w:r>
        <w:rPr>
          <w:rFonts w:ascii="Arial" w:cs="Arial" w:eastAsia="Arial" w:hAnsi="Arial"/>
          <w:sz w:val="24"/>
          <w:szCs w:val="24"/>
        </w:rPr>
        <w:t xml:space="preserve">La figura del interim manager como primera respuesta ante una crisis sectorial no es un recurso de última hora ni es exclusiva de grandes corporaciones. Muchas de las misiones de mayor impacto en interim management se ejecutan en empresas de cincuenta a quinientas personas, incluidos proveedores de automoción de segunda y tercera generación con estructura familiar. La señal desde los mercados europeos más maduros es coherente: quien actúa antes, con el liderazgo adecuado, mantiene más opciones sobre la mesa. En un sector industrial bajo la presión que confirman los datos de 2026, ese margen importa.</w:t>
      </w:r>
    </w:p>
    <w:p>
      <w:pPr>
        <w:pStyle w:val="Heading2"/>
      </w:pPr>
      <w:r>
        <w:rPr>
          <w:rFonts w:ascii="Arial" w:cs="Arial" w:eastAsia="Arial" w:hAnsi="Arial"/>
          <w:b/>
          <w:bCs/>
          <w:color w:val="2E75B6"/>
          <w:sz w:val="30"/>
          <w:szCs w:val="30"/>
        </w:rPr>
        <w:t xml:space="preserve">Preguntas frecuentes</w:t>
      </w:r>
    </w:p>
    <w:p>
      <w:pPr>
        <w:spacing w:after="80" w:before="180"/>
      </w:pPr>
      <w:r>
        <w:rPr>
          <w:rFonts w:ascii="Arial" w:cs="Arial" w:eastAsia="Arial" w:hAnsi="Arial"/>
          <w:b/>
          <w:bCs/>
          <w:sz w:val="24"/>
          <w:szCs w:val="24"/>
        </w:rPr>
        <w:t xml:space="preserve">¿Puede un interim manager liderar una reestructuración industrial completa?</w:t>
      </w:r>
    </w:p>
    <w:p>
      <w:pPr>
        <w:spacing w:after="200"/>
      </w:pPr>
      <w:r>
        <w:rPr>
          <w:rFonts w:ascii="Arial" w:cs="Arial" w:eastAsia="Arial" w:hAnsi="Arial"/>
          <w:sz w:val="24"/>
          <w:szCs w:val="24"/>
        </w:rPr>
        <w:t xml:space="preserve">Sí. Es la misión para la que están diseñados los perfiles especializados en turnaround. Una misión de este tipo abarca la dirección operativa, el control de gestión y cash flow, la gestión del equipo bajo presión y la comunicación con accionistas, acreedores y otros stakeholders clave. El interim manager asume la responsabilidad ejecutiva: no elabora un informe, implementa el plan.</w:t>
      </w:r>
    </w:p>
    <w:p>
      <w:pPr>
        <w:spacing w:after="80" w:before="180"/>
      </w:pPr>
      <w:r>
        <w:rPr>
          <w:rFonts w:ascii="Arial" w:cs="Arial" w:eastAsia="Arial" w:hAnsi="Arial"/>
          <w:b/>
          <w:bCs/>
          <w:sz w:val="24"/>
          <w:szCs w:val="24"/>
        </w:rPr>
        <w:t xml:space="preserve">¿En cuánto tiempo puede estar operativo un interim manager en una empresa industrial en dificultad?</w:t>
      </w:r>
    </w:p>
    <w:p>
      <w:pPr>
        <w:spacing w:after="200"/>
      </w:pPr>
      <w:r>
        <w:rPr>
          <w:rFonts w:ascii="Arial" w:cs="Arial" w:eastAsia="Arial" w:hAnsi="Arial"/>
          <w:sz w:val="24"/>
          <w:szCs w:val="24"/>
        </w:rPr>
        <w:t xml:space="preserve">Menos de diez días desde la primera conversación. Eso incluye la definición del mandato, la incorporación y el inicio de actividad. Compárelo con los cuatro a seis meses que requiere de media un proceso de búsqueda ejecutiva convencional para una posición de dirección senior.</w:t>
      </w:r>
    </w:p>
    <w:p>
      <w:pPr>
        <w:spacing w:after="80" w:before="180"/>
      </w:pPr>
      <w:r>
        <w:rPr>
          <w:rFonts w:ascii="Arial" w:cs="Arial" w:eastAsia="Arial" w:hAnsi="Arial"/>
          <w:b/>
          <w:bCs/>
          <w:sz w:val="24"/>
          <w:szCs w:val="24"/>
        </w:rPr>
        <w:t xml:space="preserve">¿En qué se diferencia un interim manager de un consultor de reestructuración?</w:t>
      </w:r>
    </w:p>
    <w:p>
      <w:pPr>
        <w:spacing w:after="200"/>
      </w:pPr>
      <w:r>
        <w:rPr>
          <w:rFonts w:ascii="Arial" w:cs="Arial" w:eastAsia="Arial" w:hAnsi="Arial"/>
          <w:sz w:val="24"/>
          <w:szCs w:val="24"/>
        </w:rPr>
        <w:t xml:space="preserve">El consultor diagnostica y recomienda. El interim manager asume la responsabilidad ejecutiva y ejecuta. No hay informe final: hay resultados medibles. El interim manager responde ante la propiedad o el consejo como cualquier otro directivo, con autoridad real sobre el equipo y los procesos.</w:t>
      </w:r>
    </w:p>
    <w:p>
      <w:pPr>
        <w:spacing w:after="80" w:before="180"/>
      </w:pPr>
      <w:r>
        <w:rPr>
          <w:rFonts w:ascii="Arial" w:cs="Arial" w:eastAsia="Arial" w:hAnsi="Arial"/>
          <w:b/>
          <w:bCs/>
          <w:sz w:val="24"/>
          <w:szCs w:val="24"/>
        </w:rPr>
        <w:t xml:space="preserve">¿El interim management es una opción viable para una empresa mediana o familiar del sector industrial?</w:t>
      </w:r>
    </w:p>
    <w:p>
      <w:pPr>
        <w:spacing w:after="200"/>
      </w:pPr>
      <w:r>
        <w:rPr>
          <w:rFonts w:ascii="Arial" w:cs="Arial" w:eastAsia="Arial" w:hAnsi="Arial"/>
          <w:sz w:val="24"/>
          <w:szCs w:val="24"/>
        </w:rPr>
        <w:t xml:space="preserve">Sí. Muchas de las misiones de mayor impacto se realizan en empresas de cincuenta a quinientas personas. Los proveedores de automoción de segunda o tercera generación con estructura familiar son, de hecho, uno de los perfiles donde el interim management ofrece un valor diferencial más claro: aporta visión externa sin las tensiones propias de la sucesión interna.</w:t>
      </w:r>
    </w:p>
    <w:p>
      <w:pPr>
        <w:spacing w:after="80" w:before="180"/>
      </w:pPr>
      <w:r>
        <w:rPr>
          <w:rFonts w:ascii="Arial" w:cs="Arial" w:eastAsia="Arial" w:hAnsi="Arial"/>
          <w:b/>
          <w:bCs/>
          <w:sz w:val="24"/>
          <w:szCs w:val="24"/>
        </w:rPr>
        <w:t xml:space="preserve">¿Cuánto cuesta un interim manager para una misión de turnaround industrial en España?</w:t>
      </w:r>
    </w:p>
    <w:p>
      <w:pPr>
        <w:spacing w:after="320"/>
      </w:pPr>
      <w:r>
        <w:rPr>
          <w:rFonts w:ascii="Arial" w:cs="Arial" w:eastAsia="Arial" w:hAnsi="Arial"/>
          <w:sz w:val="24"/>
          <w:szCs w:val="24"/>
        </w:rPr>
        <w:t xml:space="preserve">La estructura de coste es diferente a la de un directivo en plantilla: tarifa diaria, sin costes de estructura fija, sin bonus, sin indemnización potencial. En el mercado europeo de referencia, la tarifa media para mandatos de alta complejidad se sitúa en torno a los 1.300 euros por jornada. El coste total depende de la duración acordada, que en mandatos de reestructuración industrial oscila típicamente entre seis y doce meses.</w:t>
      </w:r>
    </w:p>
    <w:p>
      <w:pPr>
        <w:pStyle w:val="Heading2"/>
      </w:pPr>
      <w:r>
        <w:rPr>
          <w:rFonts w:ascii="Arial" w:cs="Arial" w:eastAsia="Arial" w:hAnsi="Arial"/>
          <w:b/>
          <w:bCs/>
          <w:color w:val="2E75B6"/>
          <w:sz w:val="30"/>
          <w:szCs w:val="30"/>
        </w:rPr>
        <w:t xml:space="preserve">Llamada a la acción</w:t>
      </w:r>
    </w:p>
    <w:p>
      <w:pPr>
        <w:spacing w:after="200"/>
      </w:pPr>
      <w:r>
        <w:rPr>
          <w:rFonts w:ascii="Arial" w:cs="Arial" w:eastAsia="Arial" w:hAnsi="Arial"/>
          <w:b/>
          <w:bCs/>
          <w:sz w:val="24"/>
          <w:szCs w:val="24"/>
        </w:rPr>
        <w:t xml:space="preserve">Si la empresa está ante una reestructuración o una crisis operativa en el sector industrial, el tiempo de respuesta importa tanto como la decisión en sí. Los interim managers de Manager in Motion están disponibles en menos de diez días. [Botón: "Iniciar conversación" → página de contacto o formulario de misión]</w:t>
      </w:r>
    </w:p>
    <w:p>
      <w:pPr>
        <w:spacing w:after="400"/>
      </w:pPr>
      <w:r>
        <w:rPr>
          <w:rFonts w:ascii="Arial" w:cs="Arial" w:eastAsia="Arial" w:hAnsi="Arial"/>
          <w:sz w:val="24"/>
          <w:szCs w:val="24"/>
        </w:rPr>
        <w:t xml:space="preserve">¿Reconoce alguno de estos patrones en su empresa? Conozca cómo Manager in Motion ha gestionado misiones similares en el sector industrial español. [Botón: "Ver casos de misión" → página de casos o testimonios]</w:t>
      </w:r>
    </w:p>
    <w:p>
      <w:pPr>
        <w:spacing w:after="200" w:before="400"/>
      </w:pPr>
      <w:r>
        <w:rPr>
          <w:rFonts w:ascii="Arial" w:cs="Arial" w:eastAsia="Arial" w:hAnsi="Arial"/>
          <w:color w:val="CCCCCC"/>
          <w:sz w:val="22"/>
          <w:szCs w:val="22"/>
        </w:rPr>
        <w:t xml:space="preserve">────────────────────────────────────────</w:t>
      </w:r>
    </w:p>
    <w:p>
      <w:pPr>
        <w:spacing w:after="240"/>
      </w:pPr>
      <w:r>
        <w:rPr>
          <w:rFonts w:ascii="Arial" w:cs="Arial" w:eastAsia="Arial" w:hAnsi="Arial"/>
          <w:b/>
          <w:bCs/>
          <w:i/>
          <w:iCs/>
          <w:color w:val="808080"/>
          <w:sz w:val="22"/>
          <w:szCs w:val="22"/>
        </w:rPr>
        <w:t xml:space="preserve">FUERA DEL ARTÍCULO — Solo para uso editorial</w:t>
      </w:r>
    </w:p>
    <w:p>
      <w:pPr>
        <w:pStyle w:val="Heading2"/>
      </w:pPr>
      <w:r>
        <w:rPr>
          <w:rFonts w:ascii="Arial" w:cs="Arial" w:eastAsia="Arial" w:hAnsi="Arial"/>
          <w:b/>
          <w:bCs/>
          <w:color w:val="404040"/>
          <w:sz w:val="30"/>
          <w:szCs w:val="30"/>
        </w:rPr>
        <w:t xml:space="preserve">Fuentes consultadas</w:t>
      </w:r>
    </w:p>
    <w:p>
      <w:pPr>
        <w:spacing w:after="160"/>
      </w:pPr>
      <w:r>
        <w:rPr>
          <w:rFonts w:ascii="Arial" w:cs="Arial" w:eastAsia="Arial" w:hAnsi="Arial"/>
          <w:sz w:val="22"/>
          <w:szCs w:val="22"/>
        </w:rPr>
        <w:t xml:space="preserve">1. KPMG España. "Perspectivas 2026: Encuesta a directivos españoles." 2026. (Base: más de 1.200 directivos, 23 sectores. Datos utilizados: 20% del sector automoción prevé caída de ingresos en 2026; 17% en el sector industrial y químico; media del conjunto de sectores: 10%.)</w:t>
      </w:r>
    </w:p>
    <w:p>
      <w:pPr>
        <w:spacing w:after="160"/>
      </w:pPr>
      <w:r>
        <w:rPr>
          <w:rFonts w:ascii="Arial" w:cs="Arial" w:eastAsia="Arial" w:hAnsi="Arial"/>
          <w:sz w:val="22"/>
          <w:szCs w:val="22"/>
        </w:rPr>
        <w:t xml:space="preserve">2. DDIM — Dachgesellschaft Deutsches Interim Management. "DDIM Marktstudie 2026." (Datos utilizados: el sector automoción ha caído del 1.º al 4.º puesto en demanda de mandatos interinos en Alemania, del 11,6% al 7,9% del total de misiones; mercado alemán valorado en 2.700 M EUR; más de 12.500 managers activos; tarifa media para mandatos de alta complejidad: 1.317 EUR/jornada.)</w:t>
      </w:r>
    </w:p>
    <w:p>
      <w:pPr>
        <w:spacing w:after="160"/>
      </w:pPr>
      <w:r>
        <w:rPr>
          <w:rFonts w:ascii="Arial" w:cs="Arial" w:eastAsia="Arial" w:hAnsi="Arial"/>
          <w:sz w:val="22"/>
          <w:szCs w:val="22"/>
        </w:rPr>
        <w:t xml:space="preserve">3. EY España. "La industria española ante 2026." Enero 2026. (Contexto de vulnerabilidad del sector automoción dentro de la agenda de reindustrialización europea. No se citan datos específicos en el artículo, pero respalda el marco contextual de la introducción.)</w:t>
      </w:r>
    </w:p>
    <w:p>
      <w:pPr>
        <w:spacing w:after="160"/>
      </w:pPr>
      <w:r>
        <w:rPr>
          <w:rFonts w:ascii="Arial" w:cs="Arial" w:eastAsia="Arial" w:hAnsi="Arial"/>
          <w:sz w:val="22"/>
          <w:szCs w:val="22"/>
        </w:rPr>
        <w:t xml:space="preserve">4. Ley 16/2022, de 5 de septiembre, de reforma del texto refundido de la Ley Concursal, aprobado por el Real Decreto Legislativo 1/2020, de 5 de mayo — transposición de la Directiva (UE) 2019/1023 sobre reestructuración preventiva. BOE núm. 212, de 6 de septiembre de 2022.</w:t>
      </w:r>
    </w:p>
    <w:p>
      <w:pPr>
        <w:spacing w:after="320"/>
      </w:pPr>
      <w:r>
        <w:rPr>
          <w:rFonts w:ascii="Arial" w:cs="Arial" w:eastAsia="Arial" w:hAnsi="Arial"/>
          <w:sz w:val="22"/>
          <w:szCs w:val="22"/>
        </w:rPr>
        <w:t xml:space="preserve">5. Heidrick &amp; Struggles. "Interim Management Survey 2026." Reino Unido. (Dato de contexto disponible: demanda de CEOs interinos +80% interanual; 89% de directivos interinos usan IA activamente en sus mandatos. No incorporados directamente en el artículo por prudencia de verificación, pero disponibles para edición futura.)</w:t>
      </w:r>
    </w:p>
    <w:p>
      <w:pPr>
        <w:pStyle w:val="Heading2"/>
      </w:pPr>
      <w:r>
        <w:rPr>
          <w:rFonts w:ascii="Arial" w:cs="Arial" w:eastAsia="Arial" w:hAnsi="Arial"/>
          <w:b/>
          <w:bCs/>
          <w:color w:val="404040"/>
          <w:sz w:val="30"/>
          <w:szCs w:val="30"/>
        </w:rPr>
        <w:t xml:space="preserve">Notas de revisión final</w:t>
      </w:r>
    </w:p>
    <w:p>
      <w:pPr>
        <w:spacing w:after="160"/>
      </w:pPr>
      <w:r>
        <w:rPr>
          <w:rFonts w:ascii="Arial" w:cs="Arial" w:eastAsia="Arial" w:hAnsi="Arial"/>
          <w:sz w:val="22"/>
          <w:szCs w:val="22"/>
        </w:rPr>
        <w:t xml:space="preserve">1. Verificar disponibilidad pública del informe KPMG "Perspectivas 2026" en KPMG España para implementar el enlace externo de autoridad.</w:t>
      </w:r>
    </w:p>
    <w:p>
      <w:pPr>
        <w:spacing w:after="160"/>
      </w:pPr>
      <w:r>
        <w:rPr>
          <w:rFonts w:ascii="Arial" w:cs="Arial" w:eastAsia="Arial" w:hAnsi="Arial"/>
          <w:sz w:val="22"/>
          <w:szCs w:val="22"/>
        </w:rPr>
        <w:t xml:space="preserve">2. Confirmar accesibilidad de la DDIM Marktstudie 2026 en ddim.de para el enlace externo correspondiente.</w:t>
      </w:r>
    </w:p>
    <w:p>
      <w:pPr>
        <w:spacing w:after="160"/>
      </w:pPr>
      <w:r>
        <w:rPr>
          <w:rFonts w:ascii="Arial" w:cs="Arial" w:eastAsia="Arial" w:hAnsi="Arial"/>
          <w:sz w:val="22"/>
          <w:szCs w:val="22"/>
        </w:rPr>
        <w:t xml:space="preserve">3. Verificar existencia y URLs actuales de las páginas internas de Manager in Motion referenciadas en las sugerencias de enlazado (interim COO, interim CFO, empresa familiar).</w:t>
      </w:r>
    </w:p>
    <w:p>
      <w:pPr>
        <w:spacing w:after="160"/>
      </w:pPr>
      <w:r>
        <w:rPr>
          <w:rFonts w:ascii="Arial" w:cs="Arial" w:eastAsia="Arial" w:hAnsi="Arial"/>
          <w:sz w:val="22"/>
          <w:szCs w:val="22"/>
        </w:rPr>
        <w:t xml:space="preserve">4. Implementar schema markup JSON-LD de tipo Article y FAQPage antes de publicar.</w:t>
      </w:r>
    </w:p>
    <w:p>
      <w:pPr>
        <w:spacing w:after="160"/>
      </w:pPr>
      <w:r>
        <w:rPr>
          <w:rFonts w:ascii="Arial" w:cs="Arial" w:eastAsia="Arial" w:hAnsi="Arial"/>
          <w:sz w:val="22"/>
          <w:szCs w:val="22"/>
        </w:rPr>
        <w:t xml:space="preserve">5. Insertar el CTA secundario (tras la sección de errores) con el enlace correcto a la página de casos de misión una vez confirmada su existencia.</w:t>
      </w:r>
    </w:p>
    <w:p>
      <w:pPr>
        <w:spacing w:after="200"/>
      </w:pPr>
      <w:r>
        <w:rPr>
          <w:rFonts w:ascii="Arial" w:cs="Arial" w:eastAsia="Arial" w:hAnsi="Arial"/>
          <w:sz w:val="22"/>
          <w:szCs w:val="22"/>
        </w:rPr>
        <w:t xml:space="preserve">6. El dato de tarifa se expresa como "en torno a los 1.300 euros" (redondeo de 1.317 EUR de la fuente DDIM) para mayor legibilidad. Si el editor prefiere precisión, sustituir por "1.317 euros."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80" w:before="400"/>
      <w:outlineLvl w:val="0"/>
    </w:pPr>
    <w:rPr>
      <w:rFonts w:ascii="Arial" w:cs="Arial" w:eastAsia="Arial" w:hAnsi="Arial"/>
      <w:b/>
      <w:bCs/>
      <w:color w:val="1F3864"/>
      <w:sz w:val="40"/>
      <w:szCs w:val="40"/>
    </w:rPr>
  </w:style>
  <w:style w:type="paragraph" w:styleId="Heading2">
    <w:name w:val="Heading 2"/>
    <w:basedOn w:val="Normal"/>
    <w:next w:val="Normal"/>
    <w:qFormat/>
    <w:pPr>
      <w:spacing w:after="180" w:before="320"/>
      <w:outlineLvl w:val="1"/>
    </w:pPr>
    <w:rPr>
      <w:rFonts w:ascii="Arial" w:cs="Arial" w:eastAsia="Arial" w:hAnsi="Arial"/>
      <w:b/>
      <w:bCs/>
      <w:color w:val="2E75B6"/>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2026-07-06T06:36:29.997Z</dcterms:created>
  <dcterms:modified xsi:type="dcterms:W3CDTF">2026-07-06T06:36:29.997Z</dcterms:modified>
</cp:coreProperties>
</file>

<file path=docProps/custom.xml><?xml version="1.0" encoding="utf-8"?>
<Properties xmlns="http://schemas.openxmlformats.org/officeDocument/2006/custom-properties" xmlns:vt="http://schemas.openxmlformats.org/officeDocument/2006/docPropsVTypes"/>
</file>