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555555"/>
          <w:sz w:val="22"/>
          <w:szCs w:val="22"/>
        </w:rPr>
        <w:t xml:space="preserve">Título SEO: </w:t>
      </w:r>
      <w:r>
        <w:rPr>
          <w:rFonts w:ascii="Arial" w:cs="Arial" w:eastAsia="Arial" w:hAnsi="Arial"/>
          <w:color w:val="333333"/>
          <w:sz w:val="22"/>
          <w:szCs w:val="22"/>
        </w:rPr>
        <w:t xml:space="preserve">Directivo interino para transformación empresarial en España 2026</w:t>
      </w:r>
    </w:p>
    <w:p>
      <w:pPr>
        <w:spacing w:after="80"/>
      </w:pPr>
      <w:r>
        <w:rPr>
          <w:rFonts w:ascii="Arial" w:cs="Arial" w:eastAsia="Arial" w:hAnsi="Arial"/>
          <w:b/>
          <w:bCs/>
          <w:color w:val="555555"/>
          <w:sz w:val="22"/>
          <w:szCs w:val="22"/>
        </w:rPr>
        <w:t xml:space="preserve">Meta descripción: </w:t>
      </w:r>
      <w:r>
        <w:rPr>
          <w:rFonts w:ascii="Arial" w:cs="Arial" w:eastAsia="Arial" w:hAnsi="Arial"/>
          <w:color w:val="333333"/>
          <w:sz w:val="22"/>
          <w:szCs w:val="22"/>
        </w:rPr>
        <w:t xml:space="preserve">Cuando la transformación no puede esperar: cómo el directivo interino cubre el gap de capacidades que frena el cambio en la empresa española. Datos KPMG y EY 2026.</w:t>
      </w:r>
    </w:p>
    <w:p>
      <w:pPr>
        <w:spacing w:after="80"/>
      </w:pPr>
      <w:r>
        <w:rPr>
          <w:rFonts w:ascii="Arial" w:cs="Arial" w:eastAsia="Arial" w:hAnsi="Arial"/>
          <w:b/>
          <w:bCs/>
          <w:color w:val="555555"/>
          <w:sz w:val="22"/>
          <w:szCs w:val="22"/>
        </w:rPr>
        <w:t xml:space="preserve">URL slug: </w:t>
      </w:r>
      <w:r>
        <w:rPr>
          <w:rFonts w:ascii="Arial" w:cs="Arial" w:eastAsia="Arial" w:hAnsi="Arial"/>
          <w:color w:val="333333"/>
          <w:sz w:val="22"/>
          <w:szCs w:val="22"/>
        </w:rPr>
        <w:t xml:space="preserve">/blog/directivo-interino-transformacion-empresarial-espana-2026</w:t>
      </w:r>
    </w:p>
    <w:p>
      <w:pPr>
        <w:spacing w:after="280"/>
      </w:pPr>
    </w:p>
    <w:p>
      <w:pPr>
        <w:pStyle w:val="Heading1"/>
        <w:spacing w:after="280" w:before="0"/>
      </w:pPr>
      <w:r>
        <w:rPr>
          <w:rFonts w:ascii="Arial" w:cs="Arial" w:eastAsia="Arial" w:hAnsi="Arial"/>
          <w:b/>
          <w:bCs/>
          <w:color w:val="1F3864"/>
          <w:sz w:val="36"/>
          <w:szCs w:val="36"/>
        </w:rPr>
        <w:t xml:space="preserve">El directivo interino de transformación: el ejecutor que falta en la empresa española</w:t>
      </w:r>
    </w:p>
    <w:p>
      <w:pPr>
        <w:spacing w:after="160"/>
      </w:pPr>
      <w:r>
        <w:rPr>
          <w:rFonts w:ascii="Arial" w:cs="Arial" w:eastAsia="Arial" w:hAnsi="Arial"/>
          <w:sz w:val="24"/>
          <w:szCs w:val="24"/>
        </w:rPr>
        <w:t xml:space="preserve">La transformación es la prioridad número uno de las empresas españolas en 2026. Lo documentan más de 1.200 directivos encuestados en el informe KPMG Perspectivas 2026, con independencia del tamaño de la compañía o del sector. Ese mismo informe identifica los dos frenos que se repiten con exactitud estadística: la falta de capacidades internas para ejecutar el cambio y la resistencia cultural de las organizaciones a adoptarlo. La paradoja es exacta: las empresas saben lo que tienen que hacer y no consiguen hacerlo. El gap no es de estrategia. Es de ejecución. Y más concretamente, de liderazgo ejecutivo con mandato real de transformación. Ese es el espacio que ocupa el directivo interino de transformación empresarial: un perfil senior con experiencia acumulada en misiones similares que entra en la organización con autoridad temporal y el único objetivo de convertir el plan en resultados.</w:t>
      </w:r>
    </w:p>
    <w:p>
      <w:pPr>
        <w:pStyle w:val="Heading2"/>
        <w:spacing w:after="160" w:before="320"/>
      </w:pPr>
      <w:r>
        <w:rPr>
          <w:rFonts w:ascii="Arial" w:cs="Arial" w:eastAsia="Arial" w:hAnsi="Arial"/>
          <w:b/>
          <w:bCs/>
          <w:color w:val="2E75B6"/>
          <w:sz w:val="28"/>
          <w:szCs w:val="28"/>
        </w:rPr>
        <w:t xml:space="preserve">El diagnóstico que confirman los datos: querer transformarse y no poder</w:t>
      </w:r>
    </w:p>
    <w:p>
      <w:pPr>
        <w:pStyle w:val="Heading3"/>
        <w:spacing w:after="120" w:before="200"/>
      </w:pPr>
      <w:r>
        <w:rPr>
          <w:rFonts w:ascii="Arial" w:cs="Arial" w:eastAsia="Arial" w:hAnsi="Arial"/>
          <w:b/>
          <w:bCs/>
          <w:color w:val="404040"/>
          <w:sz w:val="24"/>
          <w:szCs w:val="24"/>
        </w:rPr>
        <w:t xml:space="preserve">KPMG 2026: falta de capacidades internas y resistencia al cambio como frenos principales</w:t>
      </w:r>
    </w:p>
    <w:p>
      <w:pPr>
        <w:spacing w:after="160"/>
      </w:pPr>
      <w:r>
        <w:rPr>
          <w:rFonts w:ascii="Arial" w:cs="Arial" w:eastAsia="Arial" w:hAnsi="Arial"/>
          <w:sz w:val="24"/>
          <w:szCs w:val="24"/>
        </w:rPr>
        <w:t xml:space="preserve">La transformación ligada a la inteligencia artificial encabeza la agenda estratégica de la mayoría de las organizaciones encuestadas en 2026. Sin embargo, los principales obstáculos son exactamente los que ningún plan de transformación suele anticipar: la ausencia interna de los perfiles necesarios para ejecutarlo y la resistencia cultural que genera en los equipos. El problema no está en el qué. Está en el quién y en el cómo.</w:t>
      </w:r>
    </w:p>
    <w:p>
      <w:pPr>
        <w:spacing w:after="160"/>
      </w:pPr>
      <w:r>
        <w:rPr>
          <w:rFonts w:ascii="Arial" w:cs="Arial" w:eastAsia="Arial" w:hAnsi="Arial"/>
          <w:sz w:val="24"/>
          <w:szCs w:val="24"/>
        </w:rPr>
        <w:t xml:space="preserve">Esto tiene una implicación práctica que los equipos directivos tienden a subestimar: intentar ejecutar una transformación con los mismos recursos que construyeron el modelo que hay que cambiar es estructuralmente difícil. Los directivos internos han sido seleccionados para gestionar lo que existe, no para reemplazarlo. Esa tensión es la norma, no la excepción.</w:t>
      </w:r>
    </w:p>
    <w:p>
      <w:pPr>
        <w:pStyle w:val="Heading3"/>
        <w:spacing w:after="120" w:before="200"/>
      </w:pPr>
      <w:r>
        <w:rPr>
          <w:rFonts w:ascii="Arial" w:cs="Arial" w:eastAsia="Arial" w:hAnsi="Arial"/>
          <w:b/>
          <w:bCs/>
          <w:color w:val="404040"/>
          <w:sz w:val="24"/>
          <w:szCs w:val="24"/>
        </w:rPr>
        <w:t xml:space="preserve">EY 2026: el coste de contratar un directivo permanente supera ya la inflación</w:t>
      </w:r>
    </w:p>
    <w:p>
      <w:pPr>
        <w:spacing w:after="160"/>
      </w:pPr>
      <w:r>
        <w:rPr>
          <w:rFonts w:ascii="Arial" w:cs="Arial" w:eastAsia="Arial" w:hAnsi="Arial"/>
          <w:sz w:val="24"/>
          <w:szCs w:val="24"/>
        </w:rPr>
        <w:t xml:space="preserve">A la brecha de capacidades se añade un argumento financiero de peso. El análisis de EY sobre el mercado laboral directivo en España publicado en 2026 documenta que el coste de incorporar un directivo senior permanente crece por encima de la inflación. La suma del salario fijo, la retribución variable, los beneficios, las cotizaciones sociales —especialmente afectadas por los cambios en la base máxima de cotización— y el coste del proceso de selección ejecutiva convierten la contratación permanente para un proyecto de duración definida en una decisión financieramente ineficiente.</w:t>
      </w:r>
    </w:p>
    <w:p>
      <w:pPr>
        <w:spacing w:after="160"/>
      </w:pPr>
      <w:r>
        <w:rPr>
          <w:rFonts w:ascii="Arial" w:cs="Arial" w:eastAsia="Arial" w:hAnsi="Arial"/>
          <w:sz w:val="24"/>
          <w:szCs w:val="24"/>
        </w:rPr>
        <w:t xml:space="preserve">El interim management ofrece una alternativa estructuralmente diferente: coste predecible durante el período de la misión, sin pasivos laborales, sin período de preaviso y sin el riesgo financiero de un error de selección con impacto estructural. El coste se produce mientras el directivo trabaja en el proyecto. Cuando termina la misión, termina el coste.</w:t>
      </w:r>
    </w:p>
    <w:p>
      <w:pPr>
        <w:pStyle w:val="Heading2"/>
        <w:spacing w:after="160" w:before="320"/>
      </w:pPr>
      <w:r>
        <w:rPr>
          <w:rFonts w:ascii="Arial" w:cs="Arial" w:eastAsia="Arial" w:hAnsi="Arial"/>
          <w:b/>
          <w:bCs/>
          <w:color w:val="2E75B6"/>
          <w:sz w:val="28"/>
          <w:szCs w:val="28"/>
        </w:rPr>
        <w:t xml:space="preserve">Por qué la empresa española no puede transformarse sola</w:t>
      </w:r>
    </w:p>
    <w:p>
      <w:pPr>
        <w:pStyle w:val="Heading3"/>
        <w:spacing w:after="120" w:before="200"/>
      </w:pPr>
      <w:r>
        <w:rPr>
          <w:rFonts w:ascii="Arial" w:cs="Arial" w:eastAsia="Arial" w:hAnsi="Arial"/>
          <w:b/>
          <w:bCs/>
          <w:color w:val="404040"/>
          <w:sz w:val="24"/>
          <w:szCs w:val="24"/>
        </w:rPr>
        <w:t xml:space="preserve">Cuando el perfil que necesitas no existe dentro de tu organización</w:t>
      </w:r>
    </w:p>
    <w:p>
      <w:pPr>
        <w:spacing w:after="160"/>
      </w:pPr>
      <w:r>
        <w:rPr>
          <w:rFonts w:ascii="Arial" w:cs="Arial" w:eastAsia="Arial" w:hAnsi="Arial"/>
          <w:sz w:val="24"/>
          <w:szCs w:val="24"/>
        </w:rPr>
        <w:t xml:space="preserve">Las empresas medianas españolas disponen de equipos directivos capaces. Lo que raramente tienen es el perfil específico para dirigir una transformación que cruza funciones, tecnología y cultura simultáneamente. Un Director de Operaciones con excelente historial en el día a día puede no haber liderado nunca una reconversión de procesos asistida por inteligencia artificial. Un Director Financiero experimentado puede carecer de experiencia práctica en integrar dos culturas organizacionales tras una adquisición.</w:t>
      </w:r>
    </w:p>
    <w:p>
      <w:pPr>
        <w:spacing w:after="160"/>
      </w:pPr>
      <w:r>
        <w:rPr>
          <w:rFonts w:ascii="Arial" w:cs="Arial" w:eastAsia="Arial" w:hAnsi="Arial"/>
          <w:sz w:val="24"/>
          <w:szCs w:val="24"/>
        </w:rPr>
        <w:t xml:space="preserve">El interim manager de transformación es un perfil construido en ese tipo de misiones. Su valor diferencial no es el conocimiento genérico de la gestión directiva, sino el historial concreto de proyectos de cambio similares: misiones donde tuvo que reemplazar procesos existentes, gestionar resistencias, reportar avances a un consejo y entregar resultados en un plazo acordado.</w:t>
      </w:r>
    </w:p>
    <w:p>
      <w:pPr>
        <w:pStyle w:val="Heading3"/>
        <w:spacing w:after="120" w:before="200"/>
      </w:pPr>
      <w:r>
        <w:rPr>
          <w:rFonts w:ascii="Arial" w:cs="Arial" w:eastAsia="Arial" w:hAnsi="Arial"/>
          <w:b/>
          <w:bCs/>
          <w:color w:val="404040"/>
          <w:sz w:val="24"/>
          <w:szCs w:val="24"/>
        </w:rPr>
        <w:t xml:space="preserve">La resistencia al cambio y la falta de autoridad temporal para ejecutarlo</w:t>
      </w:r>
    </w:p>
    <w:p>
      <w:pPr>
        <w:spacing w:after="160"/>
      </w:pPr>
      <w:r>
        <w:rPr>
          <w:rFonts w:ascii="Arial" w:cs="Arial" w:eastAsia="Arial" w:hAnsi="Arial"/>
          <w:sz w:val="24"/>
          <w:szCs w:val="24"/>
        </w:rPr>
        <w:t xml:space="preserve">Incluso cuando existe un perfil interno adecuado, la transformación choca con otro obstáculo sistemático: la falta de autoridad real para tomar decisiones que generen incomodidad en la organización. Un directivo interno lleva años construyendo relaciones con los mismos equipos y bajo las mismas dinámicas de poder. Tiene incentivos implícitos para evitar los conflictos que toda transformación genera.</w:t>
      </w:r>
    </w:p>
    <w:p>
      <w:pPr>
        <w:spacing w:after="160"/>
      </w:pPr>
      <w:r>
        <w:rPr>
          <w:rFonts w:ascii="Arial" w:cs="Arial" w:eastAsia="Arial" w:hAnsi="Arial"/>
          <w:sz w:val="24"/>
          <w:szCs w:val="24"/>
        </w:rPr>
        <w:t xml:space="preserve">El interim manager llega sin esa carga. Entra con un mandato explícito acordado con la dirección o el consejo, y con la independencia que proporciona el no estar condicionado por la política interna. Esa combinación de autoridad temporal y ausencia de vínculos históricos es, en muchos contextos, el factor que hace posible la ejecución donde todo lo demás había fallado. Los datos de PwC de julio de 2026 confirman que el 70% de las empresas españolas cuenta con posición financiera sólida: la mayoría tiene recursos para actuar. Lo que falta es quien dirija la ejecución.</w:t>
      </w:r>
    </w:p>
    <w:p>
      <w:pPr>
        <w:pStyle w:val="Heading2"/>
        <w:spacing w:after="160" w:before="320"/>
      </w:pPr>
      <w:r>
        <w:rPr>
          <w:rFonts w:ascii="Arial" w:cs="Arial" w:eastAsia="Arial" w:hAnsi="Arial"/>
          <w:b/>
          <w:bCs/>
          <w:color w:val="2E75B6"/>
          <w:sz w:val="28"/>
          <w:szCs w:val="28"/>
        </w:rPr>
        <w:t xml:space="preserve">Qué hace exactamente un directivo interino de transformación</w:t>
      </w:r>
    </w:p>
    <w:p>
      <w:pPr>
        <w:pStyle w:val="Heading3"/>
        <w:spacing w:after="120" w:before="200"/>
      </w:pPr>
      <w:r>
        <w:rPr>
          <w:rFonts w:ascii="Arial" w:cs="Arial" w:eastAsia="Arial" w:hAnsi="Arial"/>
          <w:b/>
          <w:bCs/>
          <w:color w:val="404040"/>
          <w:sz w:val="24"/>
          <w:szCs w:val="24"/>
        </w:rPr>
        <w:t xml:space="preserve">El diagnóstico acelerado: de semanas a días con metodología e inteligencia artificial</w:t>
      </w:r>
    </w:p>
    <w:p>
      <w:pPr>
        <w:spacing w:after="160"/>
      </w:pPr>
      <w:r>
        <w:rPr>
          <w:rFonts w:ascii="Arial" w:cs="Arial" w:eastAsia="Arial" w:hAnsi="Arial"/>
          <w:sz w:val="24"/>
          <w:szCs w:val="24"/>
        </w:rPr>
        <w:t xml:space="preserve">La primera diferencia práctica entre un directivo interino de transformación y cualquier otra alternativa se mide en tiempo. La fase de diagnóstico inicial —que en un proceso de consultoría tradicional puede extenderse entre cuatro y ocho semanas— el interim manager la ejecuta en siete a diez días hábiles. La combinación de entrevistas estructuradas con los equipos clave, análisis documental y herramientas de diagnóstico asistido por inteligencia artificial permite identificar en días los bloqueos operativos, las brechas de capacidad y los focos de resistencia que un análisis convencional tardaría semanas en mapear.</w:t>
      </w:r>
    </w:p>
    <w:p>
      <w:pPr>
        <w:spacing w:after="160"/>
      </w:pPr>
      <w:r>
        <w:rPr>
          <w:rFonts w:ascii="Arial" w:cs="Arial" w:eastAsia="Arial" w:hAnsi="Arial"/>
          <w:sz w:val="24"/>
          <w:szCs w:val="24"/>
        </w:rPr>
        <w:t xml:space="preserve">Al final del primer mes de misión, el directivo interino ya está tomando decisiones respaldadas por datos, alineando equipos con el plan de cambio y gestionando las primeras resistencias. Mientras una selección ejecutiva permanente todavía estaría en las fases iniciales del proceso de búsqueda.</w:t>
      </w:r>
    </w:p>
    <w:p>
      <w:pPr>
        <w:pStyle w:val="Heading3"/>
        <w:spacing w:after="120" w:before="200"/>
      </w:pPr>
      <w:r>
        <w:rPr>
          <w:rFonts w:ascii="Arial" w:cs="Arial" w:eastAsia="Arial" w:hAnsi="Arial"/>
          <w:b/>
          <w:bCs/>
          <w:color w:val="404040"/>
          <w:sz w:val="24"/>
          <w:szCs w:val="24"/>
        </w:rPr>
        <w:t xml:space="preserve">Cuatro casos de uso concretos</w:t>
      </w:r>
    </w:p>
    <w:p>
      <w:pPr>
        <w:spacing w:after="160"/>
      </w:pPr>
      <w:r>
        <w:rPr>
          <w:rFonts w:ascii="Arial" w:cs="Arial" w:eastAsia="Arial" w:hAnsi="Arial"/>
          <w:sz w:val="24"/>
          <w:szCs w:val="24"/>
        </w:rPr>
        <w:t xml:space="preserve">El rol del directivo interino de transformación aplica de forma específica a cuatro tipologías de misión:</w:t>
      </w:r>
    </w:p>
    <w:p>
      <w:pPr>
        <w:spacing w:after="120"/>
        <w:ind w:left="360"/>
      </w:pPr>
      <w:r>
        <w:rPr>
          <w:rFonts w:ascii="Arial" w:cs="Arial" w:eastAsia="Arial" w:hAnsi="Arial"/>
          <w:b/>
          <w:bCs/>
          <w:sz w:val="24"/>
          <w:szCs w:val="24"/>
        </w:rPr>
        <w:t xml:space="preserve">Transformación digital: </w:t>
      </w:r>
      <w:r>
        <w:rPr>
          <w:rFonts w:ascii="Arial" w:cs="Arial" w:eastAsia="Arial" w:hAnsi="Arial"/>
          <w:sz w:val="24"/>
          <w:szCs w:val="24"/>
        </w:rPr>
        <w:t xml:space="preserve">Liderazgo de la adopción de nuevas plataformas, rediseño de procesos y cambio del modelo operativo en organizaciones que han iniciado la digitalización sin completarla.</w:t>
      </w:r>
    </w:p>
    <w:p>
      <w:pPr>
        <w:spacing w:after="120"/>
        <w:ind w:left="360"/>
      </w:pPr>
      <w:r>
        <w:rPr>
          <w:rFonts w:ascii="Arial" w:cs="Arial" w:eastAsia="Arial" w:hAnsi="Arial"/>
          <w:b/>
          <w:bCs/>
          <w:sz w:val="24"/>
          <w:szCs w:val="24"/>
        </w:rPr>
        <w:t xml:space="preserve">Implementación de inteligencia artificial: </w:t>
      </w:r>
      <w:r>
        <w:rPr>
          <w:rFonts w:ascii="Arial" w:cs="Arial" w:eastAsia="Arial" w:hAnsi="Arial"/>
          <w:sz w:val="24"/>
          <w:szCs w:val="24"/>
        </w:rPr>
        <w:t xml:space="preserve">Dirección del proceso de adopción de IA en las operaciones de la empresa, desde la selección de herramientas hasta la gestión del cambio cultural que la adopción exige.</w:t>
      </w:r>
    </w:p>
    <w:p>
      <w:pPr>
        <w:spacing w:after="120"/>
        <w:ind w:left="360"/>
      </w:pPr>
      <w:r>
        <w:rPr>
          <w:rFonts w:ascii="Arial" w:cs="Arial" w:eastAsia="Arial" w:hAnsi="Arial"/>
          <w:b/>
          <w:bCs/>
          <w:sz w:val="24"/>
          <w:szCs w:val="24"/>
        </w:rPr>
        <w:t xml:space="preserve">Cambio cultural y organizacional: </w:t>
      </w:r>
      <w:r>
        <w:rPr>
          <w:rFonts w:ascii="Arial" w:cs="Arial" w:eastAsia="Arial" w:hAnsi="Arial"/>
          <w:sz w:val="24"/>
          <w:szCs w:val="24"/>
        </w:rPr>
        <w:t xml:space="preserve">Reconversión de estructuras directivas y gestión de resistencias en procesos de profesionalización, especialmente relevante en empresas familiares ante una transición generacional o un cambio de modelo de gobierno.</w:t>
      </w:r>
    </w:p>
    <w:p>
      <w:pPr>
        <w:spacing w:after="120"/>
        <w:ind w:left="360"/>
      </w:pPr>
      <w:r>
        <w:rPr>
          <w:rFonts w:ascii="Arial" w:cs="Arial" w:eastAsia="Arial" w:hAnsi="Arial"/>
          <w:b/>
          <w:bCs/>
          <w:sz w:val="24"/>
          <w:szCs w:val="24"/>
        </w:rPr>
        <w:t xml:space="preserve">Integración post-fusión (PMI): </w:t>
      </w:r>
      <w:r>
        <w:rPr>
          <w:rFonts w:ascii="Arial" w:cs="Arial" w:eastAsia="Arial" w:hAnsi="Arial"/>
          <w:sz w:val="24"/>
          <w:szCs w:val="24"/>
        </w:rPr>
        <w:t xml:space="preserve">Dirección ejecutiva de la integración de dos organizaciones con culturas, procesos y sistemas distintos, en el período crítico posterior al cierre de la operación.</w:t>
      </w:r>
    </w:p>
    <w:p>
      <w:pPr>
        <w:pStyle w:val="Heading2"/>
        <w:spacing w:after="160" w:before="320"/>
      </w:pPr>
      <w:r>
        <w:rPr>
          <w:rFonts w:ascii="Arial" w:cs="Arial" w:eastAsia="Arial" w:hAnsi="Arial"/>
          <w:b/>
          <w:bCs/>
          <w:color w:val="2E75B6"/>
          <w:sz w:val="28"/>
          <w:szCs w:val="28"/>
        </w:rPr>
        <w:t xml:space="preserve">Interino, consultor o contratación permanente: cuándo y por qué</w:t>
      </w:r>
    </w:p>
    <w:p>
      <w:pPr>
        <w:spacing w:after="160"/>
      </w:pPr>
      <w:r>
        <w:rPr>
          <w:rFonts w:ascii="Arial" w:cs="Arial" w:eastAsia="Arial" w:hAnsi="Arial"/>
          <w:sz w:val="24"/>
          <w:szCs w:val="24"/>
        </w:rPr>
        <w:t xml:space="preserve">La elección entre estas tres alternativas no debería basarse en preferencias, sino en criterios objetivos según el tipo de situación: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Mar>
              <w:top w:type="dxa" w:w="80"/>
              <w:left w:type="dxa" w:w="120"/>
              <w:bottom w:type="dxa" w:w="80"/>
              <w:right w:type="dxa" w:w="120"/>
            </w:tcMar>
          </w:tcPr>
          <w:p>
            <w:pPr>
              <w:spacing w:after="60"/>
            </w:pPr>
            <w:r>
              <w:rPr>
                <w:rFonts w:ascii="Arial" w:cs="Arial" w:eastAsia="Arial" w:hAnsi="Arial"/>
                <w:b/>
                <w:bCs/>
                <w:sz w:val="20"/>
                <w:szCs w:val="20"/>
              </w:rPr>
              <w:t xml:space="preserve">Criterio</w:t>
            </w:r>
          </w:p>
        </w:tc>
        <w:tc>
          <w:tcPr>
            <w:tcMar>
              <w:top w:type="dxa" w:w="80"/>
              <w:left w:type="dxa" w:w="120"/>
              <w:bottom w:type="dxa" w:w="80"/>
              <w:right w:type="dxa" w:w="120"/>
            </w:tcMar>
          </w:tcPr>
          <w:p>
            <w:pPr>
              <w:spacing w:after="60"/>
            </w:pPr>
            <w:r>
              <w:rPr>
                <w:rFonts w:ascii="Arial" w:cs="Arial" w:eastAsia="Arial" w:hAnsi="Arial"/>
                <w:b/>
                <w:bCs/>
                <w:sz w:val="20"/>
                <w:szCs w:val="20"/>
              </w:rPr>
              <w:t xml:space="preserve">Directivo interino</w:t>
            </w:r>
          </w:p>
        </w:tc>
        <w:tc>
          <w:tcPr>
            <w:tcMar>
              <w:top w:type="dxa" w:w="80"/>
              <w:left w:type="dxa" w:w="120"/>
              <w:bottom w:type="dxa" w:w="80"/>
              <w:right w:type="dxa" w:w="120"/>
            </w:tcMar>
          </w:tcPr>
          <w:p>
            <w:pPr>
              <w:spacing w:after="60"/>
            </w:pPr>
            <w:r>
              <w:rPr>
                <w:rFonts w:ascii="Arial" w:cs="Arial" w:eastAsia="Arial" w:hAnsi="Arial"/>
                <w:b/>
                <w:bCs/>
                <w:sz w:val="20"/>
                <w:szCs w:val="20"/>
              </w:rPr>
              <w:t xml:space="preserve">Consultor externo</w:t>
            </w:r>
          </w:p>
        </w:tc>
        <w:tc>
          <w:tcPr>
            <w:tcMar>
              <w:top w:type="dxa" w:w="80"/>
              <w:left w:type="dxa" w:w="120"/>
              <w:bottom w:type="dxa" w:w="80"/>
              <w:right w:type="dxa" w:w="120"/>
            </w:tcMar>
          </w:tcPr>
          <w:p>
            <w:pPr>
              <w:spacing w:after="60"/>
            </w:pPr>
            <w:r>
              <w:rPr>
                <w:rFonts w:ascii="Arial" w:cs="Arial" w:eastAsia="Arial" w:hAnsi="Arial"/>
                <w:b/>
                <w:bCs/>
                <w:sz w:val="20"/>
                <w:szCs w:val="20"/>
              </w:rPr>
              <w:t xml:space="preserve">Contratación permanente</w:t>
            </w:r>
          </w:p>
        </w:tc>
      </w:tr>
      <w:tr>
        <w:tc>
          <w:tcPr>
            <w:tcMar>
              <w:top w:type="dxa" w:w="80"/>
              <w:left w:type="dxa" w:w="120"/>
              <w:bottom w:type="dxa" w:w="80"/>
              <w:right w:type="dxa" w:w="120"/>
            </w:tcMar>
          </w:tcPr>
          <w:p>
            <w:pPr>
              <w:spacing w:after="60"/>
            </w:pPr>
            <w:r>
              <w:rPr>
                <w:rFonts w:ascii="Arial" w:cs="Arial" w:eastAsia="Arial" w:hAnsi="Arial"/>
                <w:b w:val="false"/>
                <w:bCs w:val="false"/>
                <w:sz w:val="20"/>
                <w:szCs w:val="20"/>
              </w:rPr>
              <w:t xml:space="preserve">Autoridad ejecutiva</w:t>
            </w:r>
          </w:p>
        </w:tc>
        <w:tc>
          <w:tcPr>
            <w:tcMar>
              <w:top w:type="dxa" w:w="80"/>
              <w:left w:type="dxa" w:w="120"/>
              <w:bottom w:type="dxa" w:w="80"/>
              <w:right w:type="dxa" w:w="120"/>
            </w:tcMar>
          </w:tcPr>
          <w:p>
            <w:pPr>
              <w:spacing w:after="60"/>
            </w:pPr>
            <w:r>
              <w:rPr>
                <w:rFonts w:ascii="Arial" w:cs="Arial" w:eastAsia="Arial" w:hAnsi="Arial"/>
                <w:b w:val="false"/>
                <w:bCs w:val="false"/>
                <w:sz w:val="20"/>
                <w:szCs w:val="20"/>
              </w:rPr>
              <w:t xml:space="preserve">Sí, con mandato real</w:t>
            </w:r>
          </w:p>
        </w:tc>
        <w:tc>
          <w:tcPr>
            <w:tcMar>
              <w:top w:type="dxa" w:w="80"/>
              <w:left w:type="dxa" w:w="120"/>
              <w:bottom w:type="dxa" w:w="80"/>
              <w:right w:type="dxa" w:w="120"/>
            </w:tcMar>
          </w:tcPr>
          <w:p>
            <w:pPr>
              <w:spacing w:after="60"/>
            </w:pPr>
            <w:r>
              <w:rPr>
                <w:rFonts w:ascii="Arial" w:cs="Arial" w:eastAsia="Arial" w:hAnsi="Arial"/>
                <w:b w:val="false"/>
                <w:bCs w:val="false"/>
                <w:sz w:val="20"/>
                <w:szCs w:val="20"/>
              </w:rPr>
              <w:t xml:space="preserve">No — recomienda, no decide</w:t>
            </w:r>
          </w:p>
        </w:tc>
        <w:tc>
          <w:tcPr>
            <w:tcMar>
              <w:top w:type="dxa" w:w="80"/>
              <w:left w:type="dxa" w:w="120"/>
              <w:bottom w:type="dxa" w:w="80"/>
              <w:right w:type="dxa" w:w="120"/>
            </w:tcMar>
          </w:tcPr>
          <w:p>
            <w:pPr>
              <w:spacing w:after="60"/>
            </w:pPr>
            <w:r>
              <w:rPr>
                <w:rFonts w:ascii="Arial" w:cs="Arial" w:eastAsia="Arial" w:hAnsi="Arial"/>
                <w:b w:val="false"/>
                <w:bCs w:val="false"/>
                <w:sz w:val="20"/>
                <w:szCs w:val="20"/>
              </w:rPr>
              <w:t xml:space="preserve">Sí, tras período de adaptación</w:t>
            </w:r>
          </w:p>
        </w:tc>
      </w:tr>
      <w:tr>
        <w:tc>
          <w:tcPr>
            <w:tcMar>
              <w:top w:type="dxa" w:w="80"/>
              <w:left w:type="dxa" w:w="120"/>
              <w:bottom w:type="dxa" w:w="80"/>
              <w:right w:type="dxa" w:w="120"/>
            </w:tcMar>
          </w:tcPr>
          <w:p>
            <w:pPr>
              <w:spacing w:after="60"/>
            </w:pPr>
            <w:r>
              <w:rPr>
                <w:rFonts w:ascii="Arial" w:cs="Arial" w:eastAsia="Arial" w:hAnsi="Arial"/>
                <w:b w:val="false"/>
                <w:bCs w:val="false"/>
                <w:sz w:val="20"/>
                <w:szCs w:val="20"/>
              </w:rPr>
              <w:t xml:space="preserve">Velocidad de incorporación</w:t>
            </w:r>
          </w:p>
        </w:tc>
        <w:tc>
          <w:tcPr>
            <w:tcMar>
              <w:top w:type="dxa" w:w="80"/>
              <w:left w:type="dxa" w:w="120"/>
              <w:bottom w:type="dxa" w:w="80"/>
              <w:right w:type="dxa" w:w="120"/>
            </w:tcMar>
          </w:tcPr>
          <w:p>
            <w:pPr>
              <w:spacing w:after="60"/>
            </w:pPr>
            <w:r>
              <w:rPr>
                <w:rFonts w:ascii="Arial" w:cs="Arial" w:eastAsia="Arial" w:hAnsi="Arial"/>
                <w:b w:val="false"/>
                <w:bCs w:val="false"/>
                <w:sz w:val="20"/>
                <w:szCs w:val="20"/>
              </w:rPr>
              <w:t xml:space="preserve">5-10 días hábiles</w:t>
            </w:r>
          </w:p>
        </w:tc>
        <w:tc>
          <w:tcPr>
            <w:tcMar>
              <w:top w:type="dxa" w:w="80"/>
              <w:left w:type="dxa" w:w="120"/>
              <w:bottom w:type="dxa" w:w="80"/>
              <w:right w:type="dxa" w:w="120"/>
            </w:tcMar>
          </w:tcPr>
          <w:p>
            <w:pPr>
              <w:spacing w:after="60"/>
            </w:pPr>
            <w:r>
              <w:rPr>
                <w:rFonts w:ascii="Arial" w:cs="Arial" w:eastAsia="Arial" w:hAnsi="Arial"/>
                <w:b w:val="false"/>
                <w:bCs w:val="false"/>
                <w:sz w:val="20"/>
                <w:szCs w:val="20"/>
              </w:rPr>
              <w:t xml:space="preserve">2-4 semanas</w:t>
            </w:r>
          </w:p>
        </w:tc>
        <w:tc>
          <w:tcPr>
            <w:tcMar>
              <w:top w:type="dxa" w:w="80"/>
              <w:left w:type="dxa" w:w="120"/>
              <w:bottom w:type="dxa" w:w="80"/>
              <w:right w:type="dxa" w:w="120"/>
            </w:tcMar>
          </w:tcPr>
          <w:p>
            <w:pPr>
              <w:spacing w:after="60"/>
            </w:pPr>
            <w:r>
              <w:rPr>
                <w:rFonts w:ascii="Arial" w:cs="Arial" w:eastAsia="Arial" w:hAnsi="Arial"/>
                <w:b w:val="false"/>
                <w:bCs w:val="false"/>
                <w:sz w:val="20"/>
                <w:szCs w:val="20"/>
              </w:rPr>
              <w:t xml:space="preserve">4-6 meses de selección</w:t>
            </w:r>
          </w:p>
        </w:tc>
      </w:tr>
      <w:tr>
        <w:tc>
          <w:tcPr>
            <w:tcMar>
              <w:top w:type="dxa" w:w="80"/>
              <w:left w:type="dxa" w:w="120"/>
              <w:bottom w:type="dxa" w:w="80"/>
              <w:right w:type="dxa" w:w="120"/>
            </w:tcMar>
          </w:tcPr>
          <w:p>
            <w:pPr>
              <w:spacing w:after="60"/>
            </w:pPr>
            <w:r>
              <w:rPr>
                <w:rFonts w:ascii="Arial" w:cs="Arial" w:eastAsia="Arial" w:hAnsi="Arial"/>
                <w:b w:val="false"/>
                <w:bCs w:val="false"/>
                <w:sz w:val="20"/>
                <w:szCs w:val="20"/>
              </w:rPr>
              <w:t xml:space="preserve">Coste total</w:t>
            </w:r>
          </w:p>
        </w:tc>
        <w:tc>
          <w:tcPr>
            <w:tcMar>
              <w:top w:type="dxa" w:w="80"/>
              <w:left w:type="dxa" w:w="120"/>
              <w:bottom w:type="dxa" w:w="80"/>
              <w:right w:type="dxa" w:w="120"/>
            </w:tcMar>
          </w:tcPr>
          <w:p>
            <w:pPr>
              <w:spacing w:after="60"/>
            </w:pPr>
            <w:r>
              <w:rPr>
                <w:rFonts w:ascii="Arial" w:cs="Arial" w:eastAsia="Arial" w:hAnsi="Arial"/>
                <w:b w:val="false"/>
                <w:bCs w:val="false"/>
                <w:sz w:val="20"/>
                <w:szCs w:val="20"/>
              </w:rPr>
              <w:t xml:space="preserve">Tarifa diaria acotada al proyecto</w:t>
            </w:r>
          </w:p>
        </w:tc>
        <w:tc>
          <w:tcPr>
            <w:tcMar>
              <w:top w:type="dxa" w:w="80"/>
              <w:left w:type="dxa" w:w="120"/>
              <w:bottom w:type="dxa" w:w="80"/>
              <w:right w:type="dxa" w:w="120"/>
            </w:tcMar>
          </w:tcPr>
          <w:p>
            <w:pPr>
              <w:spacing w:after="60"/>
            </w:pPr>
            <w:r>
              <w:rPr>
                <w:rFonts w:ascii="Arial" w:cs="Arial" w:eastAsia="Arial" w:hAnsi="Arial"/>
                <w:b w:val="false"/>
                <w:bCs w:val="false"/>
                <w:sz w:val="20"/>
                <w:szCs w:val="20"/>
              </w:rPr>
              <w:t xml:space="preserve">Honorarios por proyecto + extensiones</w:t>
            </w:r>
          </w:p>
        </w:tc>
        <w:tc>
          <w:tcPr>
            <w:tcMar>
              <w:top w:type="dxa" w:w="80"/>
              <w:left w:type="dxa" w:w="120"/>
              <w:bottom w:type="dxa" w:w="80"/>
              <w:right w:type="dxa" w:w="120"/>
            </w:tcMar>
          </w:tcPr>
          <w:p>
            <w:pPr>
              <w:spacing w:after="60"/>
            </w:pPr>
            <w:r>
              <w:rPr>
                <w:rFonts w:ascii="Arial" w:cs="Arial" w:eastAsia="Arial" w:hAnsi="Arial"/>
                <w:b w:val="false"/>
                <w:bCs w:val="false"/>
                <w:sz w:val="20"/>
                <w:szCs w:val="20"/>
              </w:rPr>
              <w:t xml:space="preserve">Salario + SS + variable + selección</w:t>
            </w:r>
          </w:p>
        </w:tc>
      </w:tr>
      <w:tr>
        <w:tc>
          <w:tcPr>
            <w:tcMar>
              <w:top w:type="dxa" w:w="80"/>
              <w:left w:type="dxa" w:w="120"/>
              <w:bottom w:type="dxa" w:w="80"/>
              <w:right w:type="dxa" w:w="120"/>
            </w:tcMar>
          </w:tcPr>
          <w:p>
            <w:pPr>
              <w:spacing w:after="60"/>
            </w:pPr>
            <w:r>
              <w:rPr>
                <w:rFonts w:ascii="Arial" w:cs="Arial" w:eastAsia="Arial" w:hAnsi="Arial"/>
                <w:b w:val="false"/>
                <w:bCs w:val="false"/>
                <w:sz w:val="20"/>
                <w:szCs w:val="20"/>
              </w:rPr>
              <w:t xml:space="preserve">Duración de la relación</w:t>
            </w:r>
          </w:p>
        </w:tc>
        <w:tc>
          <w:tcPr>
            <w:tcMar>
              <w:top w:type="dxa" w:w="80"/>
              <w:left w:type="dxa" w:w="120"/>
              <w:bottom w:type="dxa" w:w="80"/>
              <w:right w:type="dxa" w:w="120"/>
            </w:tcMar>
          </w:tcPr>
          <w:p>
            <w:pPr>
              <w:spacing w:after="60"/>
            </w:pPr>
            <w:r>
              <w:rPr>
                <w:rFonts w:ascii="Arial" w:cs="Arial" w:eastAsia="Arial" w:hAnsi="Arial"/>
                <w:b w:val="false"/>
                <w:bCs w:val="false"/>
                <w:sz w:val="20"/>
                <w:szCs w:val="20"/>
              </w:rPr>
              <w:t xml:space="preserve">Definida desde el inicio</w:t>
            </w:r>
          </w:p>
        </w:tc>
        <w:tc>
          <w:tcPr>
            <w:tcMar>
              <w:top w:type="dxa" w:w="80"/>
              <w:left w:type="dxa" w:w="120"/>
              <w:bottom w:type="dxa" w:w="80"/>
              <w:right w:type="dxa" w:w="120"/>
            </w:tcMar>
          </w:tcPr>
          <w:p>
            <w:pPr>
              <w:spacing w:after="60"/>
            </w:pPr>
            <w:r>
              <w:rPr>
                <w:rFonts w:ascii="Arial" w:cs="Arial" w:eastAsia="Arial" w:hAnsi="Arial"/>
                <w:b w:val="false"/>
                <w:bCs w:val="false"/>
                <w:sz w:val="20"/>
                <w:szCs w:val="20"/>
              </w:rPr>
              <w:t xml:space="preserve">Variable, con tendencia a extenderse</w:t>
            </w:r>
          </w:p>
        </w:tc>
        <w:tc>
          <w:tcPr>
            <w:tcMar>
              <w:top w:type="dxa" w:w="80"/>
              <w:left w:type="dxa" w:w="120"/>
              <w:bottom w:type="dxa" w:w="80"/>
              <w:right w:type="dxa" w:w="120"/>
            </w:tcMar>
          </w:tcPr>
          <w:p>
            <w:pPr>
              <w:spacing w:after="60"/>
            </w:pPr>
            <w:r>
              <w:rPr>
                <w:rFonts w:ascii="Arial" w:cs="Arial" w:eastAsia="Arial" w:hAnsi="Arial"/>
                <w:b w:val="false"/>
                <w:bCs w:val="false"/>
                <w:sz w:val="20"/>
                <w:szCs w:val="20"/>
              </w:rPr>
              <w:t xml:space="preserve">Indefinida, con coste de salida</w:t>
            </w:r>
          </w:p>
        </w:tc>
      </w:tr>
      <w:tr>
        <w:tc>
          <w:tcPr>
            <w:tcMar>
              <w:top w:type="dxa" w:w="80"/>
              <w:left w:type="dxa" w:w="120"/>
              <w:bottom w:type="dxa" w:w="80"/>
              <w:right w:type="dxa" w:w="120"/>
            </w:tcMar>
          </w:tcPr>
          <w:p>
            <w:pPr>
              <w:spacing w:after="60"/>
            </w:pPr>
            <w:r>
              <w:rPr>
                <w:rFonts w:ascii="Arial" w:cs="Arial" w:eastAsia="Arial" w:hAnsi="Arial"/>
                <w:b w:val="false"/>
                <w:bCs w:val="false"/>
                <w:sz w:val="20"/>
                <w:szCs w:val="20"/>
              </w:rPr>
              <w:t xml:space="preserve">Riesgo para la organización</w:t>
            </w:r>
          </w:p>
        </w:tc>
        <w:tc>
          <w:tcPr>
            <w:tcMar>
              <w:top w:type="dxa" w:w="80"/>
              <w:left w:type="dxa" w:w="120"/>
              <w:bottom w:type="dxa" w:w="80"/>
              <w:right w:type="dxa" w:w="120"/>
            </w:tcMar>
          </w:tcPr>
          <w:p>
            <w:pPr>
              <w:spacing w:after="60"/>
            </w:pPr>
            <w:r>
              <w:rPr>
                <w:rFonts w:ascii="Arial" w:cs="Arial" w:eastAsia="Arial" w:hAnsi="Arial"/>
                <w:b w:val="false"/>
                <w:bCs w:val="false"/>
                <w:sz w:val="20"/>
                <w:szCs w:val="20"/>
              </w:rPr>
              <w:t xml:space="preserve">Bajo — sin compromiso laboral</w:t>
            </w:r>
          </w:p>
        </w:tc>
        <w:tc>
          <w:tcPr>
            <w:tcMar>
              <w:top w:type="dxa" w:w="80"/>
              <w:left w:type="dxa" w:w="120"/>
              <w:bottom w:type="dxa" w:w="80"/>
              <w:right w:type="dxa" w:w="120"/>
            </w:tcMar>
          </w:tcPr>
          <w:p>
            <w:pPr>
              <w:spacing w:after="60"/>
            </w:pPr>
            <w:r>
              <w:rPr>
                <w:rFonts w:ascii="Arial" w:cs="Arial" w:eastAsia="Arial" w:hAnsi="Arial"/>
                <w:b w:val="false"/>
                <w:bCs w:val="false"/>
                <w:sz w:val="20"/>
                <w:szCs w:val="20"/>
              </w:rPr>
              <w:t xml:space="preserve">Medio — dependencia del proveedor</w:t>
            </w:r>
          </w:p>
        </w:tc>
        <w:tc>
          <w:tcPr>
            <w:tcMar>
              <w:top w:type="dxa" w:w="80"/>
              <w:left w:type="dxa" w:w="120"/>
              <w:bottom w:type="dxa" w:w="80"/>
              <w:right w:type="dxa" w:w="120"/>
            </w:tcMar>
          </w:tcPr>
          <w:p>
            <w:pPr>
              <w:spacing w:after="60"/>
            </w:pPr>
            <w:r>
              <w:rPr>
                <w:rFonts w:ascii="Arial" w:cs="Arial" w:eastAsia="Arial" w:hAnsi="Arial"/>
                <w:b w:val="false"/>
                <w:bCs w:val="false"/>
                <w:sz w:val="20"/>
                <w:szCs w:val="20"/>
              </w:rPr>
              <w:t xml:space="preserve">Alto — error de selección con impacto estructural</w:t>
            </w:r>
          </w:p>
        </w:tc>
      </w:tr>
    </w:tbl>
    <w:p>
      <w:pPr>
        <w:spacing w:after="120"/>
      </w:pPr>
    </w:p>
    <w:p>
      <w:pPr>
        <w:spacing w:after="160"/>
      </w:pPr>
      <w:r>
        <w:rPr>
          <w:rFonts w:ascii="Arial" w:cs="Arial" w:eastAsia="Arial" w:hAnsi="Arial"/>
          <w:sz w:val="24"/>
          <w:szCs w:val="24"/>
        </w:rPr>
        <w:t xml:space="preserve">El consultor externo analiza y recomienda; la decisión y la ejecución quedan en manos de la empresa. La contratación permanente aporta profundidad pero exige un plazo que los proyectos de transformación raramente tienen. El directivo interino de transformación ocupa el espacio entre los dos: actúa con autoridad ejecutiva real, durante un período acotado y sin el pasivo estructural de una incorporación permanente.</w:t>
      </w:r>
    </w:p>
    <w:p>
      <w:pPr>
        <w:pBdr>
          <w:left w:val="single" w:color="2E75B6" w:sz="6" w:space="12"/>
        </w:pBdr>
        <w:spacing w:after="200" w:before="200"/>
        <w:ind w:left="431"/>
      </w:pPr>
      <w:r>
        <w:rPr>
          <w:rFonts w:ascii="Arial" w:cs="Arial" w:eastAsia="Arial" w:hAnsi="Arial"/>
          <w:b/>
          <w:bCs/>
          <w:i/>
          <w:iCs/>
          <w:color w:val="1F3864"/>
          <w:sz w:val="24"/>
          <w:szCs w:val="24"/>
        </w:rPr>
        <w:t xml:space="preserve">¿Evalúas opciones de liderazgo para tu proyecto de transformación? Cuéntanos el contexto. La primera conversación no tiene coste.</w:t>
      </w:r>
    </w:p>
    <w:p>
      <w:pPr>
        <w:pStyle w:val="Heading2"/>
        <w:spacing w:after="160" w:before="320"/>
      </w:pPr>
      <w:r>
        <w:rPr>
          <w:rFonts w:ascii="Arial" w:cs="Arial" w:eastAsia="Arial" w:hAnsi="Arial"/>
          <w:b/>
          <w:bCs/>
          <w:color w:val="2E75B6"/>
          <w:sz w:val="28"/>
          <w:szCs w:val="28"/>
        </w:rPr>
        <w:t xml:space="preserve">La señal del mercado europeo: lo que Francia anticipa para España</w:t>
      </w:r>
    </w:p>
    <w:p>
      <w:pPr>
        <w:spacing w:after="160"/>
      </w:pPr>
      <w:r>
        <w:rPr>
          <w:rFonts w:ascii="Arial" w:cs="Arial" w:eastAsia="Arial" w:hAnsi="Arial"/>
          <w:sz w:val="24"/>
          <w:szCs w:val="24"/>
        </w:rPr>
        <w:t xml:space="preserve">El mercado francés de management de transition es el indicador más fiable de la dirección que tomará España con un desfase de doce a dieciocho meses. El barómetro Adequancy 2026 documenta que las misiones de transformación representan ya el 24% del total en Francia, con una duración media de 8,3 meses, frente a los seis meses en misiones de gestión de crisis. La transformación no es una urgencia que se apaga en pocas semanas: es un proyecto de cambio estructural que requiere presencia directiva sostenida.</w:t>
      </w:r>
    </w:p>
    <w:p>
      <w:pPr>
        <w:spacing w:after="160"/>
      </w:pPr>
      <w:r>
        <w:rPr>
          <w:rFonts w:ascii="Arial" w:cs="Arial" w:eastAsia="Arial" w:hAnsi="Arial"/>
          <w:sz w:val="24"/>
          <w:szCs w:val="24"/>
        </w:rPr>
        <w:t xml:space="preserve">La implicación para España es doble: el mercado de interim management para misiones de transformación está en fase de crecimiento acelerado, y la disponibilidad de perfiles especializados se reducirá a medida que la demanda aumente. Las organizaciones que buscan este perfil ahora tienen una ventaja de acceso que desaparecerá cuando el modelo se convierta en estándar del mercado español.</w:t>
      </w:r>
    </w:p>
    <w:p>
      <w:pPr>
        <w:spacing w:after="160"/>
      </w:pPr>
      <w:r>
        <w:rPr>
          <w:rFonts w:ascii="Arial" w:cs="Arial" w:eastAsia="Arial" w:hAnsi="Arial"/>
          <w:sz w:val="24"/>
          <w:szCs w:val="24"/>
        </w:rPr>
        <w:t xml:space="preserve">La convergencia de datos de 2026 es inequívoca: las empresas españolas tienen la ambición, la posición financiera y la urgencia para transformarse. El directivo interino de transformación empresarial es la figura que cierra el gap entre la estrategia aprobada en el consejo y los resultados medibles sobre el terreno.</w:t>
      </w:r>
    </w:p>
    <w:p>
      <w:pPr>
        <w:pBdr>
          <w:left w:val="single" w:color="2E75B6" w:sz="6" w:space="12"/>
        </w:pBdr>
        <w:spacing w:after="200" w:before="200"/>
        <w:ind w:left="431"/>
      </w:pPr>
      <w:r>
        <w:rPr>
          <w:rFonts w:ascii="Arial" w:cs="Arial" w:eastAsia="Arial" w:hAnsi="Arial"/>
          <w:b/>
          <w:bCs/>
          <w:i/>
          <w:iCs/>
          <w:color w:val="1F3864"/>
          <w:sz w:val="24"/>
          <w:szCs w:val="24"/>
        </w:rPr>
        <w:t xml:space="preserve">Si tu empresa está ante un proyecto de transformación y necesitas un directivo con experiencia probada en misiones similares, podemos ayudarte. En 48 horas te presentamos perfiles. Sin compromiso.</w:t>
      </w:r>
    </w:p>
    <w:p>
      <w:pPr>
        <w:spacing w:after="400" w:before="400"/>
      </w:pPr>
      <w:r>
        <w:rPr>
          <w:rFonts w:ascii="Arial" w:cs="Arial" w:eastAsia="Arial" w:hAnsi="Arial"/>
          <w:color w:val="CCCCCC"/>
          <w:sz w:val="20"/>
          <w:szCs w:val="20"/>
        </w:rPr>
        <w:t xml:space="preserve">─────────────────────────────────────────</w:t>
      </w:r>
    </w:p>
    <w:p>
      <w:pPr>
        <w:spacing w:after="200"/>
      </w:pPr>
      <w:r>
        <w:rPr>
          <w:rFonts w:ascii="Arial" w:cs="Arial" w:eastAsia="Arial" w:hAnsi="Arial"/>
          <w:b/>
          <w:bCs/>
          <w:i/>
          <w:iCs/>
          <w:color w:val="999999"/>
          <w:sz w:val="20"/>
          <w:szCs w:val="20"/>
        </w:rPr>
        <w:t xml:space="preserve">FUERA DEL ARTÍCULO — Solo para uso editorial</w:t>
      </w:r>
    </w:p>
    <w:p>
      <w:pPr>
        <w:pStyle w:val="Heading2"/>
        <w:spacing w:after="160" w:before="320"/>
      </w:pPr>
      <w:r>
        <w:rPr>
          <w:rFonts w:ascii="Arial" w:cs="Arial" w:eastAsia="Arial" w:hAnsi="Arial"/>
          <w:b/>
          <w:bCs/>
          <w:color w:val="2E75B6"/>
          <w:sz w:val="28"/>
          <w:szCs w:val="28"/>
        </w:rPr>
        <w:t xml:space="preserve">Preguntas frecuentes sobre el directivo interino de transformación</w:t>
      </w:r>
    </w:p>
    <w:p>
      <w:pPr>
        <w:pStyle w:val="Heading3"/>
        <w:spacing w:after="120" w:before="200"/>
      </w:pPr>
      <w:r>
        <w:rPr>
          <w:rFonts w:ascii="Arial" w:cs="Arial" w:eastAsia="Arial" w:hAnsi="Arial"/>
          <w:b/>
          <w:bCs/>
          <w:color w:val="404040"/>
          <w:sz w:val="24"/>
          <w:szCs w:val="24"/>
        </w:rPr>
        <w:t xml:space="preserve">¿En qué se diferencia un directivo interino de un consultor en un proyecto de transformación?</w:t>
      </w:r>
    </w:p>
    <w:p>
      <w:pPr>
        <w:spacing w:after="160"/>
      </w:pPr>
      <w:r>
        <w:rPr>
          <w:rFonts w:ascii="Arial" w:cs="Arial" w:eastAsia="Arial" w:hAnsi="Arial"/>
          <w:sz w:val="24"/>
          <w:szCs w:val="24"/>
        </w:rPr>
        <w:t xml:space="preserve">La diferencia es de naturaleza, no de escala. Un consultor analiza la situación y entrega recomendaciones; la decisión y la ejecución quedan en manos de la empresa. El interim manager, en cambio, ocupa una posición directiva real dentro de la organización: toma decisiones, gestiona equipos, asume la responsabilidad de los resultados y responde ante la dirección o el consejo como cualquier otro ejecutivo. En un proyecto de transformación, esa distinción es determinante. La ejecución requiere autoridad, no solo análisis.</w:t>
      </w:r>
    </w:p>
    <w:p>
      <w:pPr>
        <w:pStyle w:val="Heading3"/>
        <w:spacing w:after="120" w:before="200"/>
      </w:pPr>
      <w:r>
        <w:rPr>
          <w:rFonts w:ascii="Arial" w:cs="Arial" w:eastAsia="Arial" w:hAnsi="Arial"/>
          <w:b/>
          <w:bCs/>
          <w:color w:val="404040"/>
          <w:sz w:val="24"/>
          <w:szCs w:val="24"/>
        </w:rPr>
        <w:t xml:space="preserve">¿Cuánto tiempo tarda en incorporarse un interim manager de transformación a mi empresa?</w:t>
      </w:r>
    </w:p>
    <w:p>
      <w:pPr>
        <w:spacing w:after="160"/>
      </w:pPr>
      <w:r>
        <w:rPr>
          <w:rFonts w:ascii="Arial" w:cs="Arial" w:eastAsia="Arial" w:hAnsi="Arial"/>
          <w:sz w:val="24"/>
          <w:szCs w:val="24"/>
        </w:rPr>
        <w:t xml:space="preserve">El proceso completo, desde el primer contacto con una firma especializada en interim management hasta el inicio efectivo de la misión, se sitúa habitualmente entre cinco y diez días hábiles. Ese plazo incluye la identificación del perfil adecuado, las entrevistas de alineación con la dirección y la formalización del acuerdo de colaboración. Es estructuralmente más rápido que cualquier proceso de selección ejecutiva permanente, que en el mercado español oscila entre cuatro y seis meses para perfiles de alta dirección.</w:t>
      </w:r>
    </w:p>
    <w:p>
      <w:pPr>
        <w:pStyle w:val="Heading3"/>
        <w:spacing w:after="120" w:before="200"/>
      </w:pPr>
      <w:r>
        <w:rPr>
          <w:rFonts w:ascii="Arial" w:cs="Arial" w:eastAsia="Arial" w:hAnsi="Arial"/>
          <w:b/>
          <w:bCs/>
          <w:color w:val="404040"/>
          <w:sz w:val="24"/>
          <w:szCs w:val="24"/>
        </w:rPr>
        <w:t xml:space="preserve">¿Puede un directivo interino liderar la implementación de inteligencia artificial en mi empresa?</w:t>
      </w:r>
    </w:p>
    <w:p>
      <w:pPr>
        <w:spacing w:after="160"/>
      </w:pPr>
      <w:r>
        <w:rPr>
          <w:rFonts w:ascii="Arial" w:cs="Arial" w:eastAsia="Arial" w:hAnsi="Arial"/>
          <w:sz w:val="24"/>
          <w:szCs w:val="24"/>
        </w:rPr>
        <w:t xml:space="preserve">Sí, y de forma diferencial. Los perfiles de interim manager de nueva generación no solo comprenden la inteligencia artificial como tecnología, sino que la utilizan activamente en su metodología de trabajo: diagnóstico asistido, modelado de escenarios e identificación de ineficiencias en datos operativos. Eso les permite liderar la adopción interna con doble valor: como directivos con experiencia ejecutiva y como usuarios avanzados de las herramientas que la organización necesita implementar, reduciendo la curva de aprendizaje del equipo.</w:t>
      </w:r>
    </w:p>
    <w:p>
      <w:pPr>
        <w:pStyle w:val="Heading3"/>
        <w:spacing w:after="120" w:before="200"/>
      </w:pPr>
      <w:r>
        <w:rPr>
          <w:rFonts w:ascii="Arial" w:cs="Arial" w:eastAsia="Arial" w:hAnsi="Arial"/>
          <w:b/>
          <w:bCs/>
          <w:color w:val="404040"/>
          <w:sz w:val="24"/>
          <w:szCs w:val="24"/>
        </w:rPr>
        <w:t xml:space="preserve">¿Cuánto cuesta un directivo interino para un proyecto de transformación en España en 2026?</w:t>
      </w:r>
    </w:p>
    <w:p>
      <w:pPr>
        <w:spacing w:after="160"/>
      </w:pPr>
      <w:r>
        <w:rPr>
          <w:rFonts w:ascii="Arial" w:cs="Arial" w:eastAsia="Arial" w:hAnsi="Arial"/>
          <w:sz w:val="24"/>
          <w:szCs w:val="24"/>
        </w:rPr>
        <w:t xml:space="preserve">La tarifa de un directivo interino de transformación en España en 2026 oscila entre 800 y 1.500 euros por día, dependiendo del nivel ejecutivo y la complejidad de la misión. A ello se añade el honorario de la firma intermediaria. En términos de coste total para una misión de ocho a diez meses, el modelo resulta comparable al de una contratación permanente del mismo perfil, sin generar pasivos laborales ni requerir período de preaviso. El diferencial de eficiencia financiera se ha ampliado en 2026 por el aumento documentado del coste de cotizaciones sociales.</w:t>
      </w:r>
    </w:p>
    <w:p>
      <w:pPr>
        <w:pStyle w:val="Heading3"/>
        <w:spacing w:after="120" w:before="200"/>
      </w:pPr>
      <w:r>
        <w:rPr>
          <w:rFonts w:ascii="Arial" w:cs="Arial" w:eastAsia="Arial" w:hAnsi="Arial"/>
          <w:b/>
          <w:bCs/>
          <w:color w:val="404040"/>
          <w:sz w:val="24"/>
          <w:szCs w:val="24"/>
        </w:rPr>
        <w:t xml:space="preserve">¿El directivo interino de transformación es una solución solo para grandes empresas?</w:t>
      </w:r>
    </w:p>
    <w:p>
      <w:pPr>
        <w:spacing w:after="160"/>
      </w:pPr>
      <w:r>
        <w:rPr>
          <w:rFonts w:ascii="Arial" w:cs="Arial" w:eastAsia="Arial" w:hAnsi="Arial"/>
          <w:sz w:val="24"/>
          <w:szCs w:val="24"/>
        </w:rPr>
        <w:t xml:space="preserve">No. Las empresas medianas y familiares son el segmento donde el modelo aporta más valor relativo, precisamente porque no pueden permitirse un directivo senior permanente para una fase de cambio puntual y de duración definida. El interim manager aporta el nivel de experiencia que normalmente solo tienen las grandes corporaciones, durante el tiempo exacto que dura el proyecto, sin el coste estructural que haría inviable esa misma contratación en formato permanente. Es una solución diseñada para la casuística de la empresa mediana española.</w:t>
      </w:r>
    </w:p>
    <w:p>
      <w:pPr>
        <w:pStyle w:val="Heading3"/>
        <w:spacing w:after="120" w:before="200"/>
      </w:pPr>
      <w:r>
        <w:rPr>
          <w:rFonts w:ascii="Arial" w:cs="Arial" w:eastAsia="Arial" w:hAnsi="Arial"/>
          <w:b/>
          <w:bCs/>
          <w:color w:val="404040"/>
          <w:sz w:val="24"/>
          <w:szCs w:val="24"/>
        </w:rPr>
        <w:t xml:space="preserve">¿Cuál es la duración media de una misión de transformación para un directivo interino?</w:t>
      </w:r>
    </w:p>
    <w:p>
      <w:pPr>
        <w:spacing w:after="160"/>
      </w:pPr>
      <w:r>
        <w:rPr>
          <w:rFonts w:ascii="Arial" w:cs="Arial" w:eastAsia="Arial" w:hAnsi="Arial"/>
          <w:sz w:val="24"/>
          <w:szCs w:val="24"/>
        </w:rPr>
        <w:t xml:space="preserve">Según el barómetro Adequancy 2026, referente del mercado europeo de management de transition, la duración media de una misión de transformación es de 8,3 meses, frente a los seis meses de media en misiones de gestión de crisis. Esta diferencia refleja la naturaleza del encargo: la transformación no es una urgencia que se resuelve en semanas, sino un proceso de cambio estructural que requiere tiempo para diagnóstico, diseño, implementación y consolidación. En España, los datos del mercado apuntan a duraciones similares a medida que este tipo de misiones gana peso en la oferta de interim management.</w:t>
      </w:r>
    </w:p>
    <w:p>
      <w:pPr>
        <w:pStyle w:val="Heading2"/>
        <w:spacing w:after="160" w:before="320"/>
      </w:pPr>
      <w:r>
        <w:rPr>
          <w:rFonts w:ascii="Arial" w:cs="Arial" w:eastAsia="Arial" w:hAnsi="Arial"/>
          <w:b/>
          <w:bCs/>
          <w:color w:val="2E75B6"/>
          <w:sz w:val="28"/>
          <w:szCs w:val="28"/>
        </w:rPr>
        <w:t xml:space="preserve">Sugerencias de enlazado interno</w:t>
      </w:r>
    </w:p>
    <w:p>
      <w:pPr>
        <w:spacing w:after="160"/>
      </w:pPr>
      <w:r>
        <w:rPr>
          <w:rFonts w:ascii="Arial" w:cs="Arial" w:eastAsia="Arial" w:hAnsi="Arial"/>
          <w:sz w:val="24"/>
          <w:szCs w:val="24"/>
        </w:rPr>
        <w:t xml:space="preserve">1. Página de servicios de interim management — enlazar desde la introducción con texto de ancla "interim management" o "gestión interina en España".</w:t>
      </w:r>
    </w:p>
    <w:p>
      <w:pPr>
        <w:spacing w:after="160"/>
      </w:pPr>
      <w:r>
        <w:rPr>
          <w:rFonts w:ascii="Arial" w:cs="Arial" w:eastAsia="Arial" w:hAnsi="Arial"/>
          <w:sz w:val="24"/>
          <w:szCs w:val="24"/>
        </w:rPr>
        <w:t xml:space="preserve">2. Perfiles funcionales (COO interino, CDO interino) — enlazar desde la sección "Cuatro casos de uso concretos": texto de ancla "COO interino" en transformación operativa, "CDO interino" en transformación digital.</w:t>
      </w:r>
    </w:p>
    <w:p>
      <w:pPr>
        <w:spacing w:after="160"/>
      </w:pPr>
      <w:r>
        <w:rPr>
          <w:rFonts w:ascii="Arial" w:cs="Arial" w:eastAsia="Arial" w:hAnsi="Arial"/>
          <w:sz w:val="24"/>
          <w:szCs w:val="24"/>
        </w:rPr>
        <w:t xml:space="preserve">3. Artículo sobre interim management en empresas familiares — enlazar desde el caso de uso "Cambio cultural y organizacional". Si ese contenido no existe en el sitio, priorizarlo en el siguiente ciclo editorial como pieza complementaria.</w:t>
      </w:r>
    </w:p>
    <w:p>
      <w:pPr>
        <w:pStyle w:val="Heading2"/>
        <w:spacing w:after="160" w:before="320"/>
      </w:pPr>
      <w:r>
        <w:rPr>
          <w:rFonts w:ascii="Arial" w:cs="Arial" w:eastAsia="Arial" w:hAnsi="Arial"/>
          <w:b/>
          <w:bCs/>
          <w:color w:val="2E75B6"/>
          <w:sz w:val="28"/>
          <w:szCs w:val="28"/>
        </w:rPr>
        <w:t xml:space="preserve">Fuentes consultadas</w:t>
      </w:r>
    </w:p>
    <w:p>
      <w:pPr>
        <w:spacing w:after="160"/>
      </w:pPr>
      <w:r>
        <w:rPr>
          <w:rFonts w:ascii="Arial" w:cs="Arial" w:eastAsia="Arial" w:hAnsi="Arial"/>
          <w:sz w:val="24"/>
          <w:szCs w:val="24"/>
        </w:rPr>
        <w:t xml:space="preserve">1. KPMG España — Perspectivas 2026. Encuesta a más de 1.200 directivos españoles. Identifica la transformación ligada a la IA como prioridad número uno y documenta como principales frenos: falta de capacidades internas y resistencia al cambio. Disponible en kpmg.com/es.</w:t>
      </w:r>
    </w:p>
    <w:p>
      <w:pPr>
        <w:spacing w:after="160"/>
      </w:pPr>
      <w:r>
        <w:rPr>
          <w:rFonts w:ascii="Arial" w:cs="Arial" w:eastAsia="Arial" w:hAnsi="Arial"/>
          <w:sz w:val="24"/>
          <w:szCs w:val="24"/>
        </w:rPr>
        <w:t xml:space="preserve">2. EY España — Perspectivas del mercado de trabajo directivo 2026 (mayo-julio 2026). Análisis del coste de contratación de talento directivo permanente en España, con crecimiento por encima de la inflación. Disponible en ey.com/es_ES.</w:t>
      </w:r>
    </w:p>
    <w:p>
      <w:pPr>
        <w:spacing w:after="160"/>
      </w:pPr>
      <w:r>
        <w:rPr>
          <w:rFonts w:ascii="Arial" w:cs="Arial" w:eastAsia="Arial" w:hAnsi="Arial"/>
          <w:sz w:val="24"/>
          <w:szCs w:val="24"/>
        </w:rPr>
        <w:t xml:space="preserve">3. PwC España — Informe de situación empresarial, julio 2026. El 70% de las empresas españolas cuenta con posición financiera sólida. Disponible en pwc.es.</w:t>
      </w:r>
    </w:p>
    <w:p>
      <w:pPr>
        <w:spacing w:after="160"/>
      </w:pPr>
      <w:r>
        <w:rPr>
          <w:rFonts w:ascii="Arial" w:cs="Arial" w:eastAsia="Arial" w:hAnsi="Arial"/>
          <w:sz w:val="24"/>
          <w:szCs w:val="24"/>
        </w:rPr>
        <w:t xml:space="preserve">4. Adequancy / Valtus — Barómetro europeo de interim management 2026. Datos del mercado francés: 24% de misiones son de transformación; duración media de 8,3 meses vs. 6 meses en misiones de crisis. Disponible en adequancy.com/barometre-edition-2026/.</w:t>
      </w:r>
    </w:p>
    <w:p>
      <w:pPr>
        <w:pStyle w:val="Heading2"/>
        <w:spacing w:after="160" w:before="320"/>
      </w:pPr>
      <w:r>
        <w:rPr>
          <w:rFonts w:ascii="Arial" w:cs="Arial" w:eastAsia="Arial" w:hAnsi="Arial"/>
          <w:b/>
          <w:bCs/>
          <w:color w:val="2E75B6"/>
          <w:sz w:val="28"/>
          <w:szCs w:val="28"/>
        </w:rPr>
        <w:t xml:space="preserve">Notas de revisión final</w:t>
      </w:r>
    </w:p>
    <w:p>
      <w:pPr>
        <w:spacing w:after="160"/>
      </w:pPr>
      <w:r>
        <w:rPr>
          <w:rFonts w:ascii="Arial" w:cs="Arial" w:eastAsia="Arial" w:hAnsi="Arial"/>
          <w:sz w:val="24"/>
          <w:szCs w:val="24"/>
        </w:rPr>
        <w:t xml:space="preserve">1. Verificar accesibilidad pública de los informes KPMG y EY antes de implementar los enlaces externos.</w:t>
      </w:r>
    </w:p>
    <w:p>
      <w:pPr>
        <w:spacing w:after="160"/>
      </w:pPr>
      <w:r>
        <w:rPr>
          <w:rFonts w:ascii="Arial" w:cs="Arial" w:eastAsia="Arial" w:hAnsi="Arial"/>
          <w:sz w:val="24"/>
          <w:szCs w:val="24"/>
        </w:rPr>
        <w:t xml:space="preserve">2. Verificar que el formato de tabla se renderiza correctamente en el CMS antes de publicar.</w:t>
      </w:r>
    </w:p>
    <w:p>
      <w:pPr>
        <w:spacing w:after="160"/>
      </w:pPr>
      <w:r>
        <w:rPr>
          <w:rFonts w:ascii="Arial" w:cs="Arial" w:eastAsia="Arial" w:hAnsi="Arial"/>
          <w:sz w:val="24"/>
          <w:szCs w:val="24"/>
        </w:rPr>
        <w:t xml:space="preserve">3. El rango de 800-1.500 EUR/día citado en la FAQ es orientativo. Revisar con el equipo comercial antes de publicar.</w:t>
      </w:r>
    </w:p>
    <w:p>
      <w:pPr>
        <w:spacing w:after="160"/>
      </w:pPr>
      <w:r>
        <w:rPr>
          <w:rFonts w:ascii="Arial" w:cs="Arial" w:eastAsia="Arial" w:hAnsi="Arial"/>
          <w:sz w:val="24"/>
          <w:szCs w:val="24"/>
        </w:rPr>
        <w:t xml:space="preserve">4. Confirmar existencia de páginas de perfil funcional (COO interino, CDO interino) y artículo sobre interim management en empresas familiares antes de activar el enlazado interno.</w:t>
      </w:r>
    </w:p>
    <w:p>
      <w:pPr>
        <w:spacing w:after="160"/>
      </w:pPr>
      <w:r>
        <w:rPr>
          <w:rFonts w:ascii="Arial" w:cs="Arial" w:eastAsia="Arial" w:hAnsi="Arial"/>
          <w:sz w:val="24"/>
          <w:szCs w:val="24"/>
        </w:rPr>
        <w:t xml:space="preserve">5. Implementar schema markup JSON-LD FAQPage y Article/BlogPosting en el CMS antes de publicar.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2026-07-13T06:38:07.651Z</dcterms:created>
  <dcterms:modified xsi:type="dcterms:W3CDTF">2026-07-13T06:38:07.651Z</dcterms:modified>
</cp:coreProperties>
</file>

<file path=docProps/custom.xml><?xml version="1.0" encoding="utf-8"?>
<Properties xmlns="http://schemas.openxmlformats.org/officeDocument/2006/custom-properties" xmlns:vt="http://schemas.openxmlformats.org/officeDocument/2006/docPropsVTypes"/>
</file>