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24"/>
          <w:szCs w:val="24"/>
        </w:rPr>
        <w:t xml:space="preserve">Título SEO: </w:t>
      </w:r>
      <w:r>
        <w:rPr>
          <w:rFonts w:ascii="Arial" w:cs="Arial" w:eastAsia="Arial" w:hAnsi="Arial"/>
          <w:sz w:val="24"/>
          <w:szCs w:val="24"/>
        </w:rPr>
        <w:t xml:space="preserve">Directivo interino en la empresa familiar: guía para el relevo</w:t>
      </w:r>
    </w:p>
    <w:p>
      <w:pPr>
        <w:spacing w:after="80"/>
      </w:pPr>
      <w:r>
        <w:rPr>
          <w:rFonts w:ascii="Arial" w:cs="Arial" w:eastAsia="Arial" w:hAnsi="Arial"/>
          <w:b/>
          <w:bCs/>
          <w:sz w:val="24"/>
          <w:szCs w:val="24"/>
        </w:rPr>
        <w:t xml:space="preserve">Meta descripción: </w:t>
      </w:r>
      <w:r>
        <w:rPr>
          <w:rFonts w:ascii="Arial" w:cs="Arial" w:eastAsia="Arial" w:hAnsi="Arial"/>
          <w:sz w:val="24"/>
          <w:szCs w:val="24"/>
        </w:rPr>
        <w:t xml:space="preserve">Descubre cómo un directivo interino puede liderar el relevo generacional en tu empresa familiar. Datos, claves prácticas y cómo activarlo. Consulta sin compromiso.</w:t>
      </w:r>
    </w:p>
    <w:p>
      <w:pPr>
        <w:spacing w:after="80"/>
      </w:pPr>
      <w:r>
        <w:rPr>
          <w:rFonts w:ascii="Arial" w:cs="Arial" w:eastAsia="Arial" w:hAnsi="Arial"/>
          <w:b/>
          <w:bCs/>
          <w:sz w:val="24"/>
          <w:szCs w:val="24"/>
        </w:rPr>
        <w:t xml:space="preserve">URL slug: </w:t>
      </w:r>
      <w:r>
        <w:rPr>
          <w:rFonts w:ascii="Arial" w:cs="Arial" w:eastAsia="Arial" w:hAnsi="Arial"/>
          <w:sz w:val="24"/>
          <w:szCs w:val="24"/>
        </w:rPr>
        <w:t xml:space="preserve">directivo-interino-empresa-familiar-relevo-generacional</w:t>
      </w:r>
    </w:p>
    <w:p>
      <w:pPr>
        <w:spacing w:after="240"/>
      </w:pPr>
    </w:p>
    <w:p>
      <w:pPr>
        <w:pStyle w:val="Heading1"/>
      </w:pPr>
      <w:r>
        <w:rPr>
          <w:rFonts w:ascii="Arial" w:cs="Arial" w:eastAsia="Arial" w:hAnsi="Arial"/>
        </w:rPr>
        <w:t xml:space="preserve">Directivo interino en la empresa familiar: la solución que transforma el relevo generacional en una ventaja competitiva</w:t>
      </w:r>
    </w:p>
    <w:p>
      <w:pPr>
        <w:spacing w:after="160"/>
      </w:pPr>
      <w:r>
        <w:rPr>
          <w:rFonts w:ascii="Arial" w:cs="Arial" w:eastAsia="Arial" w:hAnsi="Arial"/>
          <w:i w:val="false"/>
          <w:iCs w:val="false"/>
          <w:sz w:val="24"/>
          <w:szCs w:val="24"/>
        </w:rPr>
        <w:t xml:space="preserve">En España, más de 150.000 empresas familiares deberán afrontar un relevo generacional en los próximos diez años. La mayoría no tienen un plan. Algunas cuentan con un sucesor sobre el papel, pero no en la práctica. Otras esperan a que la situación se resuelva sola — y rara vez lo hace. El instinto natural es llamar a un abogado, convocar a un asesor de familia o lanzar una selección permanente a contrarreloj. Existe una cuarta opción que el mercado europeo emplea de forma sistemática desde hace años y que España apenas empieza a descubrir: el </w:t>
      </w:r>
      <w:r>
        <w:rPr>
          <w:rFonts w:ascii="Arial" w:cs="Arial" w:eastAsia="Arial" w:hAnsi="Arial"/>
          <w:i/>
          <w:iCs/>
          <w:sz w:val="24"/>
          <w:szCs w:val="24"/>
        </w:rPr>
        <w:t xml:space="preserve">interim management</w:t>
      </w:r>
      <w:r>
        <w:rPr>
          <w:rFonts w:ascii="Arial" w:cs="Arial" w:eastAsia="Arial" w:hAnsi="Arial"/>
          <w:i w:val="false"/>
          <w:iCs w:val="false"/>
          <w:sz w:val="24"/>
          <w:szCs w:val="24"/>
        </w:rPr>
        <w:t xml:space="preserve"> como herramienta de ingeniería del relevo directivo.</w:t>
      </w:r>
    </w:p>
    <w:p>
      <w:pPr>
        <w:pStyle w:val="Heading2"/>
      </w:pPr>
      <w:r>
        <w:rPr>
          <w:rFonts w:ascii="Arial" w:cs="Arial" w:eastAsia="Arial" w:hAnsi="Arial"/>
        </w:rPr>
        <w:t xml:space="preserve">Una ola de sucesión que España no puede seguir ignorando</w:t>
      </w:r>
    </w:p>
    <w:p>
      <w:pPr>
        <w:spacing w:after="160"/>
      </w:pPr>
      <w:r>
        <w:rPr>
          <w:rFonts w:ascii="Arial" w:cs="Arial" w:eastAsia="Arial" w:hAnsi="Arial"/>
          <w:i w:val="false"/>
          <w:iCs w:val="false"/>
          <w:sz w:val="24"/>
          <w:szCs w:val="24"/>
        </w:rPr>
        <w:t xml:space="preserve">El tejido empresarial español descansa sobre las empresas familiares. Representan el 89 % de las empresas del país y generan el 67 % del empleo privado. Un tercio de sus propietarios alcanzará la edad de jubilación en esta misma década. La magnitud del fenómeno es estructural: no se trata de una crisis sectorial ni de un ciclo puntual, sino de una transformación generacional que afecta a cientos de miles de negocios con historia, empleados y comunidades detrás.</w:t>
      </w:r>
    </w:p>
    <w:p>
      <w:pPr>
        <w:spacing w:after="160"/>
      </w:pPr>
      <w:r>
        <w:rPr>
          <w:rFonts w:ascii="Arial" w:cs="Arial" w:eastAsia="Arial" w:hAnsi="Arial"/>
          <w:i w:val="false"/>
          <w:iCs w:val="false"/>
          <w:sz w:val="24"/>
          <w:szCs w:val="24"/>
        </w:rPr>
        <w:t xml:space="preserve">El problema no es que no existan sucesores. El problema es que la sucesión exige, simultáneamente, un cambio de liderazgo, una reconfiguración de la cultura de decisión, una renegociación de las relaciones con los equipos clave y, en muchos casos, una modernización del modelo de negocio. Los errores en esta fase pueden destruir en meses lo que tardó décadas en construirse.</w:t>
      </w:r>
    </w:p>
    <w:p>
      <w:pPr>
        <w:spacing w:after="160"/>
      </w:pPr>
      <w:r>
        <w:rPr>
          <w:rFonts w:ascii="Arial" w:cs="Arial" w:eastAsia="Arial" w:hAnsi="Arial"/>
          <w:i w:val="false"/>
          <w:iCs w:val="false"/>
          <w:sz w:val="24"/>
          <w:szCs w:val="24"/>
        </w:rPr>
        <w:t xml:space="preserve">Lo que el mercado europeo ya sabe — y España empieza a aprender — es que este tipo de transición puede gestionarse de forma profesional, ordenada y con riesgo controlado. En Francia y Alemania, los grandes proveedores de </w:t>
      </w:r>
      <w:r>
        <w:rPr>
          <w:rFonts w:ascii="Arial" w:cs="Arial" w:eastAsia="Arial" w:hAnsi="Arial"/>
          <w:i/>
          <w:iCs/>
          <w:sz w:val="24"/>
          <w:szCs w:val="24"/>
        </w:rPr>
        <w:t xml:space="preserve">interim management</w:t>
      </w:r>
      <w:r>
        <w:rPr>
          <w:rFonts w:ascii="Arial" w:cs="Arial" w:eastAsia="Arial" w:hAnsi="Arial"/>
          <w:i w:val="false"/>
          <w:iCs w:val="false"/>
          <w:sz w:val="24"/>
          <w:szCs w:val="24"/>
        </w:rPr>
        <w:t xml:space="preserve"> llevan años operando la sucesión familiar como una línea de servicio específica. España replica ese patrón con un retraso estimado de entre 18 y 24 meses. La ventana de oportunidad para actuar antes de que la presión sea insoportable es ahora.</w:t>
      </w:r>
    </w:p>
    <w:p>
      <w:pPr>
        <w:pStyle w:val="Heading2"/>
      </w:pPr>
      <w:r>
        <w:rPr>
          <w:rFonts w:ascii="Arial" w:cs="Arial" w:eastAsia="Arial" w:hAnsi="Arial"/>
        </w:rPr>
        <w:t xml:space="preserve">Qué es un interim manager y por qué no es lo que se piensa</w:t>
      </w:r>
    </w:p>
    <w:p>
      <w:pPr>
        <w:spacing w:after="160"/>
      </w:pPr>
      <w:r>
        <w:rPr>
          <w:rFonts w:ascii="Arial" w:cs="Arial" w:eastAsia="Arial" w:hAnsi="Arial"/>
          <w:i w:val="false"/>
          <w:iCs w:val="false"/>
          <w:sz w:val="24"/>
          <w:szCs w:val="24"/>
        </w:rPr>
        <w:t xml:space="preserve">Uno de los frenos más comunes para activar esta solución es la confusión conceptual.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no es un consultor. La diferencia es sustancial: el consultor analiza, recomienda y entrega un informe; el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entra en la organización, asume autoridad ejecutiva real y ejecuta. Es una distinción que importa especialmente en el contexto familiar, donde las empresas suelen haber acumulado experiencias con consultores que produjeron documentos sin implementar cambios.</w:t>
      </w:r>
    </w:p>
    <w:p>
      <w:pPr>
        <w:spacing w:after="160"/>
      </w:pPr>
      <w:r>
        <w:rPr>
          <w:rFonts w:ascii="Arial" w:cs="Arial" w:eastAsia="Arial" w:hAnsi="Arial"/>
          <w:i w:val="false"/>
          <w:iCs w:val="false"/>
          <w:sz w:val="24"/>
          <w:szCs w:val="24"/>
        </w:rPr>
        <w:t xml:space="preserve">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tampoco es una figura de alta dirección temporal en el sentido de una ETT ejecutiva. Es un profesional sénior independiente, con un historial contrastado en posiciones de dirección, que acepta un mandato con objetivos definidos, plazos acordados y métricas de éxito establecidas desde el primer día. Su independencia respecto a la empresa — y respecto a la familia propietaria — es parte del valor: no tiene agenda política interna ni aspiraciones de permanencia. Eso le permite actuar con una claridad que rara vez tiene quien lleva años dentro del sistema.</w:t>
      </w:r>
    </w:p>
    <w:p>
      <w:pPr>
        <w:spacing w:after="160"/>
      </w:pPr>
      <w:r>
        <w:rPr>
          <w:rFonts w:ascii="Arial" w:cs="Arial" w:eastAsia="Arial" w:hAnsi="Arial"/>
          <w:i w:val="false"/>
          <w:iCs w:val="false"/>
          <w:sz w:val="24"/>
          <w:szCs w:val="24"/>
        </w:rPr>
        <w:t xml:space="preserve">En un proceso de sucesión,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puede cubrir cualquier posición de la alta dirección — Director General, CFO, COO — durante el periodo de transición. La duración media de un mandato de relevo en Europa se sitúa en torno a los 7,5 meses; en contextos familiares, donde el componente de transferencia de conocimiento y cultura es más denso, los plazos tienden a extenderse hasta los 9 o 12 meses.</w:t>
      </w:r>
    </w:p>
    <w:p>
      <w:pPr>
        <w:pStyle w:val="Heading2"/>
      </w:pPr>
      <w:r>
        <w:rPr>
          <w:rFonts w:ascii="Arial" w:cs="Arial" w:eastAsia="Arial" w:hAnsi="Arial"/>
        </w:rPr>
        <w:t xml:space="preserve">Los momentos en que el interim management es la respuesta correcta</w:t>
      </w:r>
    </w:p>
    <w:p>
      <w:pPr>
        <w:spacing w:after="160"/>
      </w:pPr>
      <w:r>
        <w:rPr>
          <w:rFonts w:ascii="Arial" w:cs="Arial" w:eastAsia="Arial" w:hAnsi="Arial"/>
          <w:i w:val="false"/>
          <w:iCs w:val="false"/>
          <w:sz w:val="24"/>
          <w:szCs w:val="24"/>
        </w:rPr>
        <w:t xml:space="preserve">Hay situaciones en las que activar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no es una opción entre varias: es la opción más lógica. Las más frecuentes en el contexto de la empresa familiar son estas:</w:t>
      </w:r>
    </w:p>
    <w:p>
      <w:pPr>
        <w:spacing w:after="120"/>
        <w:ind w:left="360"/>
      </w:pPr>
      <w:r>
        <w:rPr>
          <w:rFonts w:ascii="Arial" w:cs="Arial" w:eastAsia="Arial" w:hAnsi="Arial"/>
          <w:i w:val="false"/>
          <w:iCs w:val="false"/>
          <w:sz w:val="24"/>
          <w:szCs w:val="24"/>
        </w:rPr>
        <w:t xml:space="preserve">•  El sucesor designado no está listo todavía. Necesita uno o dos años de acompañamiento antes de asumir el mando con plena autoridad.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puede cubrir la dirección, transferir metodología y preparar el terreno para que la llegada del sucesor sea un salto de calidad, no un experimento bajo presión.</w:t>
      </w:r>
    </w:p>
    <w:p>
      <w:pPr>
        <w:spacing w:after="120"/>
        <w:ind w:left="360"/>
      </w:pPr>
      <w:r>
        <w:rPr>
          <w:rFonts w:ascii="Arial" w:cs="Arial" w:eastAsia="Arial" w:hAnsi="Arial"/>
          <w:i w:val="false"/>
          <w:iCs w:val="false"/>
          <w:sz w:val="24"/>
          <w:szCs w:val="24"/>
        </w:rPr>
        <w:t xml:space="preserve">•  El fundador se retira de manera abrupta. Por enfermedad o decisión repentina, sin protocolo activado. La velocidad de incorporación de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marca la diferencia entre la estabilidad y la parálisis. El proceso de selección e incorporación puede completarse en dos a cuatro semanas.</w:t>
      </w:r>
    </w:p>
    <w:p>
      <w:pPr>
        <w:spacing w:after="120"/>
        <w:ind w:left="360"/>
      </w:pPr>
      <w:r>
        <w:rPr>
          <w:rFonts w:ascii="Arial" w:cs="Arial" w:eastAsia="Arial" w:hAnsi="Arial"/>
          <w:i w:val="false"/>
          <w:iCs w:val="false"/>
          <w:sz w:val="24"/>
          <w:szCs w:val="24"/>
        </w:rPr>
        <w:t xml:space="preserve">•  La empresa ha crecido más allá de la capacidad de gestión familiar. Necesita profesionalizar la dirección antes de decidir quién la lidera de forma permanente. El </w:t>
      </w:r>
      <w:r>
        <w:rPr>
          <w:rFonts w:ascii="Arial" w:cs="Arial" w:eastAsia="Arial" w:hAnsi="Arial"/>
          <w:i/>
          <w:iCs/>
          <w:sz w:val="24"/>
          <w:szCs w:val="24"/>
        </w:rPr>
        <w:t xml:space="preserve">interim management</w:t>
      </w:r>
      <w:r>
        <w:rPr>
          <w:rFonts w:ascii="Arial" w:cs="Arial" w:eastAsia="Arial" w:hAnsi="Arial"/>
          <w:i w:val="false"/>
          <w:iCs w:val="false"/>
          <w:sz w:val="24"/>
          <w:szCs w:val="24"/>
        </w:rPr>
        <w:t xml:space="preserve"> proporciona ese puente entre el modelo artesanal y el modelo institucional, sin forzar una decisión de largo plazo en el peor momento posible.</w:t>
      </w:r>
    </w:p>
    <w:p>
      <w:pPr>
        <w:spacing w:after="120"/>
        <w:ind w:left="360"/>
      </w:pPr>
      <w:r>
        <w:rPr>
          <w:rFonts w:ascii="Arial" w:cs="Arial" w:eastAsia="Arial" w:hAnsi="Arial"/>
          <w:i w:val="false"/>
          <w:iCs w:val="false"/>
          <w:sz w:val="24"/>
          <w:szCs w:val="24"/>
        </w:rPr>
        <w:t xml:space="preserve">•  El sucesor ha tomado el mando pero necesita refuerzo sénior. Un director de operaciones o CFO con perfil de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le da estabilidad mientras consolida su autoridad y aprende el oficio de dirigir.</w:t>
      </w:r>
    </w:p>
    <w:p>
      <w:pPr>
        <w:spacing w:after="120"/>
        <w:ind w:left="360"/>
      </w:pPr>
      <w:r>
        <w:rPr>
          <w:rFonts w:ascii="Arial" w:cs="Arial" w:eastAsia="Arial" w:hAnsi="Arial"/>
          <w:i w:val="false"/>
          <w:iCs w:val="false"/>
          <w:sz w:val="24"/>
          <w:szCs w:val="24"/>
        </w:rPr>
        <w:t xml:space="preserve">•  La empresa está en proceso de venta o fusión. Necesita una dirección neutral y profesional para maximizar el valor en la due diligence. Un CEO o CFO con experiencia en operaciones corporativas puede marcar la diferencia en el precio final de la transacción.</w:t>
      </w:r>
    </w:p>
    <w:p>
      <w:pPr>
        <w:spacing w:after="160"/>
      </w:pPr>
      <w:r>
        <w:rPr>
          <w:rFonts w:ascii="Arial" w:cs="Arial" w:eastAsia="Arial" w:hAnsi="Arial"/>
          <w:i w:val="false"/>
          <w:iCs w:val="false"/>
          <w:sz w:val="24"/>
          <w:szCs w:val="24"/>
        </w:rPr>
        <w:t xml:space="preserve">En todos estos escenarios, el denominador común es el mismo: el </w:t>
      </w:r>
      <w:r>
        <w:rPr>
          <w:rFonts w:ascii="Arial" w:cs="Arial" w:eastAsia="Arial" w:hAnsi="Arial"/>
          <w:i/>
          <w:iCs/>
          <w:sz w:val="24"/>
          <w:szCs w:val="24"/>
        </w:rPr>
        <w:t xml:space="preserve">interim management</w:t>
      </w:r>
      <w:r>
        <w:rPr>
          <w:rFonts w:ascii="Arial" w:cs="Arial" w:eastAsia="Arial" w:hAnsi="Arial"/>
          <w:i w:val="false"/>
          <w:iCs w:val="false"/>
          <w:sz w:val="24"/>
          <w:szCs w:val="24"/>
        </w:rPr>
        <w:t xml:space="preserve"> no es un parche para cuando algo falla — es una herramienta de precisión para cuando se quiere que las cosas salgan bien desde el principio.</w:t>
      </w:r>
    </w:p>
    <w:p>
      <w:pPr>
        <w:spacing w:after="160"/>
      </w:pPr>
      <w:r>
        <w:rPr>
          <w:rFonts w:ascii="Arial" w:cs="Arial" w:eastAsia="Arial" w:hAnsi="Arial"/>
          <w:i w:val="false"/>
          <w:iCs w:val="false"/>
          <w:sz w:val="24"/>
          <w:szCs w:val="24"/>
        </w:rPr>
        <w:t xml:space="preserve">El relevo generacional bien gestionado no es solo una amenaza evitada: es la oportunidad de modernizar la empresa, profesionalizar su dirección y posicionarla con solidez para la siguiente década. El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es el catalizador que convierte ese momento de incertidumbre en un salto de valor real. Manager in Motion acompaña estos procesos con directivos de perfil sénior y experiencia contrastada en el mercado ibérico.</w:t>
      </w:r>
    </w:p>
    <w:p>
      <w:pPr>
        <w:pStyle w:val="Heading2"/>
      </w:pPr>
      <w:r>
        <w:rPr>
          <w:rFonts w:ascii="Arial" w:cs="Arial" w:eastAsia="Arial" w:hAnsi="Arial"/>
        </w:rPr>
        <w:t xml:space="preserve">Preguntas Frecuentes</w:t>
      </w:r>
    </w:p>
    <w:p>
      <w:pPr>
        <w:spacing w:after="80"/>
      </w:pPr>
      <w:r>
        <w:rPr>
          <w:rFonts w:ascii="Arial" w:cs="Arial" w:eastAsia="Arial" w:hAnsi="Arial"/>
          <w:b/>
          <w:bCs/>
          <w:sz w:val="24"/>
          <w:szCs w:val="24"/>
        </w:rPr>
        <w:t xml:space="preserve">¿Puede un interim manager asumir el cargo de CEO en una empresa familiar durante la transición?</w:t>
      </w:r>
    </w:p>
    <w:p>
      <w:pPr>
        <w:spacing w:after="160"/>
      </w:pPr>
      <w:r>
        <w:rPr>
          <w:rFonts w:ascii="Arial" w:cs="Arial" w:eastAsia="Arial" w:hAnsi="Arial"/>
          <w:i w:val="false"/>
          <w:iCs w:val="false"/>
          <w:sz w:val="24"/>
          <w:szCs w:val="24"/>
        </w:rPr>
        <w:t xml:space="preserve">Sí.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puede asumir cualquier posición de la alta dirección — CEO, COO, CFO, Director General — de manera temporal y con plena autoridad ejecutiva. El mandato se define al inicio con objetivos claros y una fecha de salida planificada.</w:t>
      </w:r>
    </w:p>
    <w:p>
      <w:pPr>
        <w:spacing w:after="80"/>
      </w:pPr>
      <w:r>
        <w:rPr>
          <w:rFonts w:ascii="Arial" w:cs="Arial" w:eastAsia="Arial" w:hAnsi="Arial"/>
          <w:b/>
          <w:bCs/>
          <w:sz w:val="24"/>
          <w:szCs w:val="24"/>
        </w:rPr>
        <w:t xml:space="preserve">¿Cuánto tiempo tarda en incorporarse un interim manager desde que se toma la decisión?</w:t>
      </w:r>
    </w:p>
    <w:p>
      <w:pPr>
        <w:spacing w:after="160"/>
      </w:pPr>
      <w:r>
        <w:rPr>
          <w:rFonts w:ascii="Arial" w:cs="Arial" w:eastAsia="Arial" w:hAnsi="Arial"/>
          <w:i w:val="false"/>
          <w:iCs w:val="false"/>
          <w:sz w:val="24"/>
          <w:szCs w:val="24"/>
        </w:rPr>
        <w:t xml:space="preserve">En condiciones normales, el proceso de selección e incorporación dura entre dos y cuatro semanas. Los proveedores especializados disponen de redes de profesionales disponibles que permiten activar una misión con rapidez cuando la situación lo requiere.</w:t>
      </w:r>
    </w:p>
    <w:p>
      <w:pPr>
        <w:spacing w:after="80"/>
      </w:pPr>
      <w:r>
        <w:rPr>
          <w:rFonts w:ascii="Arial" w:cs="Arial" w:eastAsia="Arial" w:hAnsi="Arial"/>
          <w:b/>
          <w:bCs/>
          <w:sz w:val="24"/>
          <w:szCs w:val="24"/>
        </w:rPr>
        <w:t xml:space="preserve">¿El interim manager puede generar conflicto con los miembros de la familia que siguen en la empresa?</w:t>
      </w:r>
    </w:p>
    <w:p>
      <w:pPr>
        <w:spacing w:after="160"/>
      </w:pPr>
      <w:r>
        <w:rPr>
          <w:rFonts w:ascii="Arial" w:cs="Arial" w:eastAsia="Arial" w:hAnsi="Arial"/>
          <w:i w:val="false"/>
          <w:iCs w:val="false"/>
          <w:sz w:val="24"/>
          <w:szCs w:val="24"/>
        </w:rPr>
        <w:t xml:space="preserve">Es uno de los riesgos más citados, pero también uno de los más gestionables.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 con experiencia en contextos familiares sabe trabajar con la dualidad familia-empresa, establecer límites claros y ganarse la confianza de las distintas partes. La clave está en la definición precisa del mandato y en el respaldo explícito del propietario o del Consejo de Administración.</w:t>
      </w:r>
    </w:p>
    <w:p>
      <w:pPr>
        <w:pStyle w:val="Heading2"/>
      </w:pPr>
      <w:r>
        <w:rPr>
          <w:rFonts w:ascii="Arial" w:cs="Arial" w:eastAsia="Arial" w:hAnsi="Arial"/>
        </w:rPr>
        <w:t xml:space="preserve">¿Necesitas acompañamiento para el relevo de tu empresa familiar?</w:t>
      </w:r>
    </w:p>
    <w:p>
      <w:pPr>
        <w:spacing w:after="160"/>
      </w:pPr>
      <w:r>
        <w:rPr>
          <w:rFonts w:ascii="Arial" w:cs="Arial" w:eastAsia="Arial" w:hAnsi="Arial"/>
          <w:i w:val="false"/>
          <w:iCs w:val="false"/>
          <w:sz w:val="24"/>
          <w:szCs w:val="24"/>
        </w:rPr>
        <w:t xml:space="preserve">¿Estás planificando el relevo de tu empresa familiar o afrontando una transición directiva urgente? Manager in Motion acompaña procesos de sucesión en empresas familiares con </w:t>
      </w:r>
      <w:r>
        <w:rPr>
          <w:rFonts w:ascii="Arial" w:cs="Arial" w:eastAsia="Arial" w:hAnsi="Arial"/>
          <w:i/>
          <w:iCs/>
          <w:sz w:val="24"/>
          <w:szCs w:val="24"/>
        </w:rPr>
        <w:t xml:space="preserve">interim managers</w:t>
      </w:r>
      <w:r>
        <w:rPr>
          <w:rFonts w:ascii="Arial" w:cs="Arial" w:eastAsia="Arial" w:hAnsi="Arial"/>
          <w:i w:val="false"/>
          <w:iCs w:val="false"/>
          <w:sz w:val="24"/>
          <w:szCs w:val="24"/>
        </w:rPr>
        <w:t xml:space="preserve"> de perfil sénior y experiencia verificada en el mercado ibérico. Primera conversación confidencial y sin compromiso.</w:t>
      </w:r>
    </w:p>
    <w:p>
      <w:pPr>
        <w:spacing w:after="160"/>
      </w:pPr>
      <w:r>
        <w:rPr>
          <w:rFonts w:ascii="Arial" w:cs="Arial" w:eastAsia="Arial" w:hAnsi="Arial"/>
          <w:i w:val="false"/>
          <w:iCs w:val="false"/>
          <w:sz w:val="24"/>
          <w:szCs w:val="24"/>
        </w:rPr>
        <w:t xml:space="preserve">[Solicitar diagnóstico inicial gratuito →]</w:t>
      </w:r>
    </w:p>
    <w:p>
      <w:pPr>
        <w:spacing w:after="200" w:before="400"/>
      </w:pPr>
      <w:r>
        <w:rPr>
          <w:rFonts w:ascii="Arial" w:cs="Arial" w:eastAsia="Arial" w:hAnsi="Arial"/>
          <w:sz w:val="24"/>
          <w:szCs w:val="24"/>
        </w:rPr>
        <w:t xml:space="preserve">———</w:t>
      </w:r>
    </w:p>
    <w:p>
      <w:pPr>
        <w:spacing w:after="160"/>
      </w:pPr>
      <w:r>
        <w:rPr>
          <w:rFonts w:ascii="Arial" w:cs="Arial" w:eastAsia="Arial" w:hAnsi="Arial"/>
          <w:b/>
          <w:bCs/>
          <w:i/>
          <w:iCs/>
          <w:color w:val="808080"/>
          <w:sz w:val="24"/>
          <w:szCs w:val="24"/>
        </w:rPr>
        <w:t xml:space="preserve">FUERA DEL ARTÍCULO — Solo para uso editorial</w:t>
      </w:r>
    </w:p>
    <w:p>
      <w:pPr>
        <w:pStyle w:val="Heading2"/>
      </w:pPr>
      <w:r>
        <w:rPr>
          <w:rFonts w:ascii="Arial" w:cs="Arial" w:eastAsia="Arial" w:hAnsi="Arial"/>
        </w:rPr>
        <w:t xml:space="preserve">Fuentes consultadas</w:t>
      </w:r>
    </w:p>
    <w:p>
      <w:pPr>
        <w:spacing w:after="160"/>
      </w:pPr>
      <w:r>
        <w:rPr>
          <w:rFonts w:ascii="Arial" w:cs="Arial" w:eastAsia="Arial" w:hAnsi="Arial"/>
          <w:i w:val="false"/>
          <w:iCs w:val="false"/>
          <w:sz w:val="24"/>
          <w:szCs w:val="24"/>
        </w:rPr>
        <w:t xml:space="preserve">1. Instituto de la Empresa Familiar (IEF), Informe 2025 — iefamiliar.com — Datos estructurales: 89 % de empresas con estructura familiar, 67 % del empleo privado, estimación de un tercio de propietarios llegando a edad de jubilación en la década actual.</w:t>
      </w:r>
    </w:p>
    <w:p>
      <w:pPr>
        <w:spacing w:after="160"/>
      </w:pPr>
      <w:r>
        <w:rPr>
          <w:rFonts w:ascii="Arial" w:cs="Arial" w:eastAsia="Arial" w:hAnsi="Arial"/>
          <w:i w:val="false"/>
          <w:iCs w:val="false"/>
          <w:sz w:val="24"/>
          <w:szCs w:val="24"/>
        </w:rPr>
        <w:t xml:space="preserve">2. France Transition Baromètre S2 2025 — francetransition.fr — Duración media de mandatos: 7,5 meses para mandatos de relevo y 8,3 meses para mandatos de transformación.</w:t>
      </w:r>
    </w:p>
    <w:p>
      <w:pPr>
        <w:spacing w:after="160"/>
      </w:pPr>
      <w:r>
        <w:rPr>
          <w:rFonts w:ascii="Arial" w:cs="Arial" w:eastAsia="Arial" w:hAnsi="Arial"/>
          <w:i w:val="false"/>
          <w:iCs w:val="false"/>
          <w:sz w:val="24"/>
          <w:szCs w:val="24"/>
        </w:rPr>
        <w:t xml:space="preserve">3. Servitalent, Informe de mercado 2025 — Estimación del retraso del mercado español respecto a Francia y Alemania: entre 18 y 24 meses.</w:t>
      </w:r>
    </w:p>
    <w:p>
      <w:pPr>
        <w:spacing w:after="160"/>
      </w:pPr>
      <w:r>
        <w:rPr>
          <w:rFonts w:ascii="Arial" w:cs="Arial" w:eastAsia="Arial" w:hAnsi="Arial"/>
          <w:i w:val="false"/>
          <w:iCs w:val="false"/>
          <w:sz w:val="24"/>
          <w:szCs w:val="24"/>
        </w:rPr>
        <w:t xml:space="preserve">4. AIME — Asociación Interim Management España — interimspain.org — Referencia institucional del sector. VI Congreso AIME previsto para el 10 de junio de 2026 en Madrid.</w:t>
      </w:r>
    </w:p>
    <w:p>
      <w:pPr>
        <w:pStyle w:val="Heading2"/>
      </w:pPr>
      <w:r>
        <w:rPr>
          <w:rFonts w:ascii="Arial" w:cs="Arial" w:eastAsia="Arial" w:hAnsi="Arial"/>
        </w:rPr>
        <w:t xml:space="preserve">Sugerencias de Enlazado Interno</w:t>
      </w:r>
    </w:p>
    <w:p>
      <w:pPr>
        <w:spacing w:after="160"/>
      </w:pPr>
      <w:r>
        <w:rPr>
          <w:rFonts w:ascii="Arial" w:cs="Arial" w:eastAsia="Arial" w:hAnsi="Arial"/>
          <w:i w:val="false"/>
          <w:iCs w:val="false"/>
          <w:sz w:val="24"/>
          <w:szCs w:val="24"/>
        </w:rPr>
        <w:t xml:space="preserve">1. Página de servicios / “Nuestros mandatos” — Texto de ancla: “cómo estructuramos un mandato de </w:t>
      </w:r>
      <w:r>
        <w:rPr>
          <w:rFonts w:ascii="Arial" w:cs="Arial" w:eastAsia="Arial" w:hAnsi="Arial"/>
          <w:i/>
          <w:iCs/>
          <w:sz w:val="24"/>
          <w:szCs w:val="24"/>
        </w:rPr>
        <w:t xml:space="preserve">interim management</w:t>
      </w:r>
      <w:r>
        <w:rPr>
          <w:rFonts w:ascii="Arial" w:cs="Arial" w:eastAsia="Arial" w:hAnsi="Arial"/>
          <w:i w:val="false"/>
          <w:iCs w:val="false"/>
          <w:sz w:val="24"/>
          <w:szCs w:val="24"/>
        </w:rPr>
        <w:t xml:space="preserve">”</w:t>
      </w:r>
    </w:p>
    <w:p>
      <w:pPr>
        <w:spacing w:after="160"/>
      </w:pPr>
      <w:r>
        <w:rPr>
          <w:rFonts w:ascii="Arial" w:cs="Arial" w:eastAsia="Arial" w:hAnsi="Arial"/>
          <w:i w:val="false"/>
          <w:iCs w:val="false"/>
          <w:sz w:val="24"/>
          <w:szCs w:val="24"/>
        </w:rPr>
        <w:t xml:space="preserve">2. Página “Cómo funciona” — Texto de ancla: “el proceso de selección e incorporación”</w:t>
      </w:r>
    </w:p>
    <w:p>
      <w:pPr>
        <w:spacing w:after="160"/>
      </w:pPr>
      <w:r>
        <w:rPr>
          <w:rFonts w:ascii="Arial" w:cs="Arial" w:eastAsia="Arial" w:hAnsi="Arial"/>
          <w:i w:val="false"/>
          <w:iCs w:val="false"/>
          <w:sz w:val="24"/>
          <w:szCs w:val="24"/>
        </w:rPr>
        <w:t xml:space="preserve">3. Artículo “Qué es el interim management” — Texto de ancla: “qué es exactamente un </w:t>
      </w:r>
      <w:r>
        <w:rPr>
          <w:rFonts w:ascii="Arial" w:cs="Arial" w:eastAsia="Arial" w:hAnsi="Arial"/>
          <w:i/>
          <w:iCs/>
          <w:sz w:val="24"/>
          <w:szCs w:val="24"/>
        </w:rPr>
        <w:t xml:space="preserve">interim manager</w:t>
      </w:r>
      <w:r>
        <w:rPr>
          <w:rFonts w:ascii="Arial" w:cs="Arial" w:eastAsia="Arial" w:hAnsi="Arial"/>
          <w:i w:val="false"/>
          <w:iCs w:val="false"/>
          <w:sz w:val="24"/>
          <w:szCs w:val="24"/>
        </w:rPr>
        <w:t xml:space="preserve">”</w:t>
      </w:r>
    </w:p>
    <w:p>
      <w:pPr>
        <w:pStyle w:val="Heading2"/>
      </w:pPr>
      <w:r>
        <w:rPr>
          <w:rFonts w:ascii="Arial" w:cs="Arial" w:eastAsia="Arial" w:hAnsi="Arial"/>
        </w:rPr>
        <w:t xml:space="preserve">Notas de Revisión Final</w:t>
      </w:r>
    </w:p>
    <w:p>
      <w:pPr>
        <w:spacing w:after="160"/>
      </w:pPr>
      <w:r>
        <w:rPr>
          <w:rFonts w:ascii="Arial" w:cs="Arial" w:eastAsia="Arial" w:hAnsi="Arial"/>
          <w:i w:val="false"/>
          <w:iCs w:val="false"/>
          <w:sz w:val="24"/>
          <w:szCs w:val="24"/>
        </w:rPr>
        <w:t xml:space="preserve">1. Verificar la URL exacta de la página de servicios de Manager in Motion para activar los enlaces internos sugeridos.</w:t>
      </w:r>
    </w:p>
    <w:p>
      <w:pPr>
        <w:spacing w:after="160"/>
      </w:pPr>
      <w:r>
        <w:rPr>
          <w:rFonts w:ascii="Arial" w:cs="Arial" w:eastAsia="Arial" w:hAnsi="Arial"/>
          <w:i w:val="false"/>
          <w:iCs w:val="false"/>
          <w:sz w:val="24"/>
          <w:szCs w:val="24"/>
        </w:rPr>
        <w:t xml:space="preserve">2. Confirmar si existe la página “Cómo funciona” o equivalente en el sitio.</w:t>
      </w:r>
    </w:p>
    <w:p>
      <w:pPr>
        <w:spacing w:after="160"/>
      </w:pPr>
      <w:r>
        <w:rPr>
          <w:rFonts w:ascii="Arial" w:cs="Arial" w:eastAsia="Arial" w:hAnsi="Arial"/>
          <w:i w:val="false"/>
          <w:iCs w:val="false"/>
          <w:sz w:val="24"/>
          <w:szCs w:val="24"/>
        </w:rPr>
        <w:t xml:space="preserve">3. Revisar que el botón del CTA apunta al formulario de contacto correcto.</w:t>
      </w:r>
    </w:p>
    <w:p>
      <w:pPr>
        <w:spacing w:after="160"/>
      </w:pPr>
      <w:r>
        <w:rPr>
          <w:rFonts w:ascii="Arial" w:cs="Arial" w:eastAsia="Arial" w:hAnsi="Arial"/>
          <w:i w:val="false"/>
          <w:iCs w:val="false"/>
          <w:sz w:val="24"/>
          <w:szCs w:val="24"/>
        </w:rPr>
        <w:t xml:space="preserve">4. Implementar schema markup FAQPage para las tres preguntas frecuentes y schema Article con campos author, datePublished y publisher antes de publicar.</w:t>
      </w:r>
    </w:p>
    <w:p>
      <w:pPr>
        <w:spacing w:after="160"/>
      </w:pPr>
      <w:r>
        <w:rPr>
          <w:rFonts w:ascii="Arial" w:cs="Arial" w:eastAsia="Arial" w:hAnsi="Arial"/>
          <w:i w:val="false"/>
          <w:iCs w:val="false"/>
          <w:sz w:val="24"/>
          <w:szCs w:val="24"/>
        </w:rPr>
        <w:t xml:space="preserve">5. La cifra “más de 150.000 empresas familiares” se deriva de las cifras IEF. Confirmar el dato exacto con la edición 2025 del informe antes de publicar.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2026-06-03T14:37:13.531Z</dcterms:created>
  <dcterms:modified xsi:type="dcterms:W3CDTF">2026-06-03T14:37:13.532Z</dcterms:modified>
</cp:coreProperties>
</file>

<file path=docProps/custom.xml><?xml version="1.0" encoding="utf-8"?>
<Properties xmlns="http://schemas.openxmlformats.org/officeDocument/2006/custom-properties" xmlns:vt="http://schemas.openxmlformats.org/officeDocument/2006/docPropsVTypes"/>
</file>