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55555"/>
          <w:sz w:val="20"/>
          <w:szCs w:val="20"/>
        </w:rPr>
        <w:t xml:space="preserve">Título SEO: </w:t>
      </w:r>
      <w:r>
        <w:rPr>
          <w:rFonts w:ascii="Arial" w:cs="Arial" w:eastAsia="Arial" w:hAnsi="Arial"/>
          <w:color w:val="555555"/>
          <w:sz w:val="20"/>
          <w:szCs w:val="20"/>
        </w:rPr>
        <w:t xml:space="preserve">Relevo generacional en la empresa familiar: el interim manager</w:t>
      </w:r>
    </w:p>
    <w:p>
      <w:pPr>
        <w:spacing w:after="80"/>
      </w:pPr>
      <w:r>
        <w:rPr>
          <w:rFonts w:ascii="Arial" w:cs="Arial" w:eastAsia="Arial" w:hAnsi="Arial"/>
          <w:b/>
          <w:bCs/>
          <w:color w:val="555555"/>
          <w:sz w:val="20"/>
          <w:szCs w:val="20"/>
        </w:rPr>
        <w:t xml:space="preserve">Meta descripción: </w:t>
      </w:r>
      <w:r>
        <w:rPr>
          <w:rFonts w:ascii="Arial" w:cs="Arial" w:eastAsia="Arial" w:hAnsi="Arial"/>
          <w:color w:val="555555"/>
          <w:sz w:val="20"/>
          <w:szCs w:val="20"/>
        </w:rPr>
        <w:t xml:space="preserve">150.000 empresas familiares españolas afrontan el relevo. Descubre cómo el interim management garantiza la continuidad sin improvisación.</w:t>
      </w:r>
    </w:p>
    <w:p>
      <w:pPr>
        <w:spacing w:after="80"/>
      </w:pPr>
      <w:r>
        <w:rPr>
          <w:rFonts w:ascii="Arial" w:cs="Arial" w:eastAsia="Arial" w:hAnsi="Arial"/>
          <w:b/>
          <w:bCs/>
          <w:color w:val="555555"/>
          <w:sz w:val="20"/>
          <w:szCs w:val="20"/>
        </w:rPr>
        <w:t xml:space="preserve">URL slug: </w:t>
      </w:r>
      <w:r>
        <w:rPr>
          <w:rFonts w:ascii="Arial" w:cs="Arial" w:eastAsia="Arial" w:hAnsi="Arial"/>
          <w:color w:val="555555"/>
          <w:sz w:val="20"/>
          <w:szCs w:val="20"/>
        </w:rPr>
        <w:t xml:space="preserve">/interim-management-empresa-familiar-relevo-generacional</w:t>
      </w:r>
    </w:p>
    <w:p>
      <w:pPr>
        <w:spacing w:after="280"/>
      </w:pPr>
      <w:r>
        <w:t xml:space="preserve"/>
      </w:r>
    </w:p>
    <w:p>
      <w:pPr>
        <w:pStyle w:val="Heading1"/>
        <w:spacing w:after="180" w:before="320"/>
      </w:pPr>
      <w:r>
        <w:rPr>
          <w:rFonts w:ascii="Arial" w:cs="Arial" w:eastAsia="Arial" w:hAnsi="Arial"/>
        </w:rPr>
        <w:t xml:space="preserve">Relevo generacional en la empresa familiar: por qué el interim management es la solución que nadie te ha contado</w:t>
      </w:r>
    </w:p>
    <w:p>
      <w:pPr>
        <w:spacing w:after="200"/>
      </w:pPr>
      <w:r>
        <w:rPr>
          <w:rFonts w:ascii="Arial" w:cs="Arial" w:eastAsia="Arial" w:hAnsi="Arial"/>
          <w:sz w:val="24"/>
          <w:szCs w:val="24"/>
        </w:rPr>
        <w:t xml:space="preserve">Más de 150.000 empresas familiares españolas afrontarán un relevo generacional en la próxima década. Un tercio de sus propietarios llegará a la jubilación antes de 2030. Y sin embargo, la mayoría de esas transiciones se gestionan sin un plan de liderazgo claro, con la esperanza de que el sucesor designado lo resuelva sobre la marcha.</w:t>
      </w:r>
    </w:p>
    <w:p>
      <w:pPr>
        <w:spacing w:after="200"/>
      </w:pPr>
      <w:r>
        <w:rPr>
          <w:rFonts w:ascii="Arial" w:cs="Arial" w:eastAsia="Arial" w:hAnsi="Arial"/>
          <w:sz w:val="24"/>
          <w:szCs w:val="24"/>
        </w:rPr>
        <w:t xml:space="preserve">El problema no es la sucesión en sí: es el vacío de liderazgo que se abre entre el momento en que el fundador comunica su retirada y el momento en que el sucesor está plenamente operativo. Ese intervalo, que puede durar entre 12 y 24 meses, es el período de mayor riesgo para la continuidad del negocio. El interim management existe precisamente para cubrirlo.</w:t>
      </w:r>
    </w:p>
    <w:p>
      <w:pPr>
        <w:pStyle w:val="Heading2"/>
        <w:spacing w:after="180" w:before="320"/>
      </w:pPr>
      <w:r>
        <w:rPr>
          <w:rFonts w:ascii="Arial" w:cs="Arial" w:eastAsia="Arial" w:hAnsi="Arial"/>
        </w:rPr>
        <w:t xml:space="preserve">El vacío de liderazgo es el verdadero riesgo del relevo generacional</w:t>
      </w:r>
    </w:p>
    <w:p>
      <w:pPr>
        <w:spacing w:after="200"/>
      </w:pPr>
      <w:r>
        <w:rPr>
          <w:rFonts w:ascii="Arial" w:cs="Arial" w:eastAsia="Arial" w:hAnsi="Arial"/>
          <w:sz w:val="24"/>
          <w:szCs w:val="24"/>
        </w:rPr>
        <w:t xml:space="preserve">Cuando el fundador anuncia su salida, la organización entera lo percibe. Los equipos se preguntan quién manda. Los clientes y proveedores observan si hay continuidad. Los bancos evalúan si el riesgo ha cambiado. Y el sucesor — a menudo con talento real pero sin experiencia en la dirección general — se ve ante decisiones para las que todavía no ha tenido tiempo de prepararse.</w:t>
      </w:r>
    </w:p>
    <w:p>
      <w:pPr>
        <w:spacing w:after="200"/>
      </w:pPr>
      <w:r>
        <w:rPr>
          <w:rFonts w:ascii="Arial" w:cs="Arial" w:eastAsia="Arial" w:hAnsi="Arial"/>
          <w:sz w:val="24"/>
          <w:szCs w:val="24"/>
        </w:rPr>
        <w:t xml:space="preserve">La mayoría de las empresas familiares cometen tres errores en este momento: aplazar la conversación sobre la sucesión hasta que es urgente; depositar toda la responsabilidad sobre el sucesor desde el primer día sin acompañamiento; y no contemplar la opción de un liderazgo puente que estabilice la organización mientras el relevo se consolida.</w:t>
      </w:r>
    </w:p>
    <w:p>
      <w:pPr>
        <w:spacing w:after="200"/>
      </w:pPr>
      <w:r>
        <w:rPr>
          <w:rFonts w:ascii="Arial" w:cs="Arial" w:eastAsia="Arial" w:hAnsi="Arial"/>
          <w:sz w:val="24"/>
          <w:szCs w:val="24"/>
        </w:rPr>
        <w:t xml:space="preserve">Una búsqueda ejecutiva tradicional tarda entre cuatro y nueve meses en encontrar un director general permanente. Para cuando el proceso termina, el daño ya puede estar hecho: clientes perdidos, talento que ha buscado alternativas, decisiones estratégicas aplazadas. El interim management ofrece una respuesta diferente: un directivo operativo incorporado en menos de diez días, con mandato claro, sin agenda propia y con experiencia previa en transiciones similares.</w:t>
      </w:r>
    </w:p>
    <w:p>
      <w:pPr>
        <w:spacing w:after="200"/>
      </w:pPr>
      <w:r>
        <w:rPr>
          <w:rFonts w:ascii="Arial" w:cs="Arial" w:eastAsia="Arial" w:hAnsi="Arial"/>
          <w:sz w:val="24"/>
          <w:szCs w:val="24"/>
        </w:rPr>
        <w:t xml:space="preserve">Un interim manager no es un consultor que elabora informes y se marcha. Entra en la organización con autoridad ejecutiva real, toma decisiones desde el primer día y trabaja con un horizonte temporal definido. Su objetivo no es quedarse: es dejar la empresa en condiciones de que el sucesor asuma el mando con plenas garantías.</w:t>
      </w:r>
    </w:p>
    <w:p>
      <w:pPr>
        <w:pStyle w:val="Heading2"/>
        <w:spacing w:after="180" w:before="320"/>
      </w:pPr>
      <w:r>
        <w:rPr>
          <w:rFonts w:ascii="Arial" w:cs="Arial" w:eastAsia="Arial" w:hAnsi="Arial"/>
        </w:rPr>
        <w:t xml:space="preserve">Cómo funciona el interim management en una empresa familiar en proceso de relevo</w:t>
      </w:r>
    </w:p>
    <w:p>
      <w:pPr>
        <w:spacing w:after="200"/>
      </w:pPr>
      <w:r>
        <w:rPr>
          <w:rFonts w:ascii="Arial" w:cs="Arial" w:eastAsia="Arial" w:hAnsi="Arial"/>
          <w:sz w:val="24"/>
          <w:szCs w:val="24"/>
        </w:rPr>
        <w:t xml:space="preserve">El mandato de un interim manager en un contexto de sucesión familiar sigue un patrón consistente en tres fases.</w:t>
      </w:r>
    </w:p>
    <w:p>
      <w:pPr>
        <w:spacing w:after="200"/>
      </w:pPr>
      <w:r>
        <w:rPr>
          <w:rFonts w:ascii="Arial" w:cs="Arial" w:eastAsia="Arial" w:hAnsi="Arial"/>
          <w:sz w:val="24"/>
          <w:szCs w:val="24"/>
        </w:rPr>
        <w:t xml:space="preserve">La primera fase es el diagnóstico y la estabilización. Durante las primeras semanas, el interim manager evalúa el estado real de la organización: equipo directivo, procesos críticos, situación financiera y relaciones clave con clientes y proveedores. Su presencia transmite una señal inmediata de continuidad y control, lo que reduce la incertidumbre interna.</w:t>
      </w:r>
    </w:p>
    <w:p>
      <w:pPr>
        <w:spacing w:after="200"/>
      </w:pPr>
      <w:r>
        <w:rPr>
          <w:rFonts w:ascii="Arial" w:cs="Arial" w:eastAsia="Arial" w:hAnsi="Arial"/>
          <w:sz w:val="24"/>
          <w:szCs w:val="24"/>
        </w:rPr>
        <w:t xml:space="preserve">La segunda fase es la profesionalización y la preparación del sucesor. Aquí es donde el interim management aporta más valor en el contexto familiar: el directivo interino introduce metodologías de gestión, estructura procesos que dependían de la figura del fundador y actúa como mentor de la segunda generación. Esta fase puede durar entre seis y doce meses, según la complejidad del negocio y el punto de partida del sucesor.</w:t>
      </w:r>
    </w:p>
    <w:p>
      <w:pPr>
        <w:spacing w:after="200"/>
      </w:pPr>
      <w:r>
        <w:rPr>
          <w:rFonts w:ascii="Arial" w:cs="Arial" w:eastAsia="Arial" w:hAnsi="Arial"/>
          <w:sz w:val="24"/>
          <w:szCs w:val="24"/>
        </w:rPr>
        <w:t xml:space="preserve">La tercera fase es la transferencia de mando. El interim manager prepara una salida planificada: documenta los procesos, presenta al sucesor ante los interlocutores clave y asegura que el traspaso no genera discontinuidad. Cuando el mandato termina, la empresa está en mejores condiciones que cuando empezó, y el sucesor tiene la autoridad y la credibilidad para ejercer la dirección general.</w:t>
      </w:r>
    </w:p>
    <w:p>
      <w:pPr>
        <w:spacing w:after="200"/>
      </w:pPr>
      <w:r>
        <w:rPr>
          <w:rFonts w:ascii="Arial" w:cs="Arial" w:eastAsia="Arial" w:hAnsi="Arial"/>
          <w:sz w:val="24"/>
          <w:szCs w:val="24"/>
        </w:rPr>
        <w:t xml:space="preserve">Los perfiles más demandados en estos contextos son el interim CEO — para cubrir la dirección general durante la transición —, el interim CFO — cuando la sucesión implica también una reestructuración financiera — y el interim CHRO — cuando la empresa necesita profesionalizar su gestión del talento antes de que el sucesor asuma el mando.</w:t>
      </w:r>
    </w:p>
    <w:p>
      <w:pPr>
        <w:spacing w:after="200"/>
      </w:pPr>
      <w:r>
        <w:rPr>
          <w:rFonts w:ascii="Arial" w:cs="Arial" w:eastAsia="Arial" w:hAnsi="Arial"/>
          <w:sz w:val="24"/>
          <w:szCs w:val="24"/>
        </w:rPr>
        <w:t xml:space="preserve">Un caso ilustra bien cómo funciona en la práctica. Una empresa del sector industrial en el norte de España, con alrededor de cien empleados, enfrentó la retirada de su fundador — 68 años, treinta de ellos al frente del negocio — en un plazo de dieciséis meses. Su hijo, de 43 años y con una trayectoria sólida en el área comercial, era el sucesor natural, pero carecía de experiencia en la dirección general y en la gestión financiera y operativa de la empresa. La familia reconoció el riesgo y contactó con Manager in Motion. En menos de diez días, un interim CEO con experiencia en el sector industrial asumió la dirección general. Durante catorce meses, estabilizó el equipo directivo, introdujo un sistema de control de gestión, renegoció las condiciones con los principales proveedores y dedicó parte de su tiempo a trabajar codo con codo con el sucesor en las decisiones estratégicas. Al final del mandato, el hijo asumió la dirección general con pleno conocimiento de la organización, con un equipo directivo consolidado y con los procesos documentados. El negocio no perdió ningún cliente relevante durante la transición.</w:t>
      </w:r>
    </w:p>
    <w:p>
      <w:pPr>
        <w:pBdr>
          <w:left w:val="thick" w:color="2E75B6" w:sz="8" w:space="14"/>
        </w:pBdr>
        <w:spacing w:after="280" w:before="160"/>
        <w:ind w:left="360"/>
      </w:pPr>
      <w:r>
        <w:rPr>
          <w:rFonts w:ascii="Arial" w:cs="Arial" w:eastAsia="Arial" w:hAnsi="Arial"/>
          <w:i/>
          <w:iCs/>
          <w:color w:val="2E75B6"/>
          <w:sz w:val="24"/>
          <w:szCs w:val="24"/>
        </w:rPr>
        <w:t xml:space="preserve">Si te identificas con esta situación, descubre cómo trabajamos en Manager in Motion.</w:t>
      </w:r>
    </w:p>
    <w:p>
      <w:pPr>
        <w:pStyle w:val="Heading2"/>
        <w:spacing w:after="180" w:before="320"/>
      </w:pPr>
      <w:r>
        <w:rPr>
          <w:rFonts w:ascii="Arial" w:cs="Arial" w:eastAsia="Arial" w:hAnsi="Arial"/>
        </w:rPr>
        <w:t xml:space="preserve">Cuándo tiene sentido el interim management y qué está pasando en Europa</w:t>
      </w:r>
    </w:p>
    <w:p>
      <w:pPr>
        <w:spacing w:after="200"/>
      </w:pPr>
      <w:r>
        <w:rPr>
          <w:rFonts w:ascii="Arial" w:cs="Arial" w:eastAsia="Arial" w:hAnsi="Arial"/>
          <w:sz w:val="24"/>
          <w:szCs w:val="24"/>
        </w:rPr>
        <w:t xml:space="preserve">Hay señales que indican que el relevo generacional en la empresa familiar necesita apoyo externo: el sucesor lleva menos de dos años en funciones ejecutivas, la empresa depende de relaciones personales del fundador con clientes o proveedores clave, la estructura directiva es débil más allá de la primera línea, o hay tensiones familiares no resueltas que pueden interferir en la toma de decisiones durante la transición.</w:t>
      </w:r>
    </w:p>
    <w:p>
      <w:pPr>
        <w:spacing w:after="200"/>
      </w:pPr>
      <w:r>
        <w:rPr>
          <w:rFonts w:ascii="Arial" w:cs="Arial" w:eastAsia="Arial" w:hAnsi="Arial"/>
          <w:sz w:val="24"/>
          <w:szCs w:val="24"/>
        </w:rPr>
        <w:t xml:space="preserve">No toda empresa familiar es candidata al interim management. Si el sucesor tiene experiencia directiva consolidada, el equipo de dirección es sólido y la transición puede ejecutarse sin vacío de liderazgo, el directivo interino puede no ser necesario. La honestidad sobre este punto es parte de lo que diferencia un asesoramiento riguroso de una venta fácil.</w:t>
      </w:r>
    </w:p>
    <w:p>
      <w:pPr>
        <w:spacing w:after="200"/>
      </w:pPr>
      <w:r>
        <w:rPr>
          <w:rFonts w:ascii="Arial" w:cs="Arial" w:eastAsia="Arial" w:hAnsi="Arial"/>
          <w:sz w:val="24"/>
          <w:szCs w:val="24"/>
        </w:rPr>
        <w:t xml:space="preserve">En Francia y Alemania, el management de transition lleva décadas siendo una herramienta habitual en la empresa familiar. Las asociaciones profesionales del sector cuentan con centenares de directivos certificados y los fondos de capital privado lo incorporan como estándar en sus procesos de inversión. La demanda de interim CEO en Europa ha crecido un 80% interanual. España llega a este modelo con retraso, pero con un mercado que lo necesita de forma urgente: el relevo generacional de las empresas familiares españolas no es un fenómeno futuro. Está ocurriendo ahora.</w:t>
      </w:r>
    </w:p>
    <w:p>
      <w:pPr>
        <w:pBdr>
          <w:top w:val="single" w:color="2E75B6" w:sz="4" w:space="8"/>
          <w:bottom w:val="single" w:color="2E75B6" w:sz="4" w:space="8"/>
          <w:left w:val="single" w:color="2E75B6" w:sz="4" w:space="8"/>
          <w:right w:val="single" w:color="2E75B6" w:sz="4" w:space="8"/>
        </w:pBdr>
        <w:spacing w:after="120" w:before="320"/>
        <w:ind w:left="280" w:right="280"/>
      </w:pPr>
      <w:r>
        <w:rPr>
          <w:rFonts w:ascii="Arial" w:cs="Arial" w:eastAsia="Arial" w:hAnsi="Arial"/>
          <w:b/>
          <w:bCs/>
          <w:color w:val="1F3864"/>
          <w:sz w:val="24"/>
          <w:szCs w:val="24"/>
        </w:rPr>
        <w:t xml:space="preserve">¿Tu empresa familiar afronta un relevo generacional en los próximos años? Habla con un especialista de Manager in Motion. En una primera consulta sin compromiso, evaluamos tu situación y te presentamos el perfil de directivo interino más adecuado para tu caso.</w:t>
      </w:r>
    </w:p>
    <w:p>
      <w:pPr>
        <w:spacing w:after="360" w:before="80"/>
        <w:ind w:left="280"/>
      </w:pPr>
      <w:r>
        <w:rPr>
          <w:rFonts w:ascii="Arial" w:cs="Arial" w:eastAsia="Arial" w:hAnsi="Arial"/>
          <w:b/>
          <w:bCs/>
          <w:color w:val="2E75B6"/>
          <w:sz w:val="24"/>
          <w:szCs w:val="24"/>
        </w:rPr>
        <w:t xml:space="preserve">→ Solicitar consulta gratuita</w:t>
      </w:r>
    </w:p>
    <w:p>
      <w:pPr>
        <w:pStyle w:val="Heading2"/>
        <w:spacing w:after="180" w:before="320"/>
      </w:pPr>
      <w:r>
        <w:rPr>
          <w:rFonts w:ascii="Arial" w:cs="Arial" w:eastAsia="Arial" w:hAnsi="Arial"/>
        </w:rPr>
        <w:t xml:space="preserve">Preguntas frecuentes sobre interim management y relevo generacional</w:t>
      </w:r>
    </w:p>
    <w:p>
      <w:pPr>
        <w:spacing w:after="100" w:before="240"/>
      </w:pPr>
      <w:r>
        <w:rPr>
          <w:rFonts w:ascii="Arial" w:cs="Arial" w:eastAsia="Arial" w:hAnsi="Arial"/>
          <w:b/>
          <w:bCs/>
          <w:sz w:val="24"/>
          <w:szCs w:val="24"/>
        </w:rPr>
        <w:t xml:space="preserve">¿Puede una empresa familiar pequeña permitirse un interim manager?</w:t>
      </w:r>
    </w:p>
    <w:p>
      <w:pPr>
        <w:spacing w:after="200"/>
      </w:pPr>
      <w:r>
        <w:rPr>
          <w:rFonts w:ascii="Arial" w:cs="Arial" w:eastAsia="Arial" w:hAnsi="Arial"/>
          <w:sz w:val="24"/>
          <w:szCs w:val="24"/>
        </w:rPr>
        <w:t xml:space="preserve">El interim management es especialmente adecuado para pymes, donde la dependencia de una sola figura directiva es mayor y el riesgo de un vacío de liderazgo es más crítico. El coste de un directivo interino es significativamente inferior al de una mala decisión de sucesión: clientes perdidos, equipos desestabilizados o procesos que se detienen no tienen precio. El mandato se calibra siempre a la duración y el alcance real que necesita cada empresa.</w:t>
      </w:r>
    </w:p>
    <w:p>
      <w:pPr>
        <w:spacing w:after="100" w:before="240"/>
      </w:pPr>
      <w:r>
        <w:rPr>
          <w:rFonts w:ascii="Arial" w:cs="Arial" w:eastAsia="Arial" w:hAnsi="Arial"/>
          <w:b/>
          <w:bCs/>
          <w:sz w:val="24"/>
          <w:szCs w:val="24"/>
        </w:rPr>
        <w:t xml:space="preserve">¿Cuánto tiempo dura un mandato de interim management en un proceso de sucesión familiar?</w:t>
      </w:r>
    </w:p>
    <w:p>
      <w:pPr>
        <w:spacing w:after="200"/>
      </w:pPr>
      <w:r>
        <w:rPr>
          <w:rFonts w:ascii="Arial" w:cs="Arial" w:eastAsia="Arial" w:hAnsi="Arial"/>
          <w:sz w:val="24"/>
          <w:szCs w:val="24"/>
        </w:rPr>
        <w:t xml:space="preserve">La duración habitual oscila entre seis y dieciocho meses, en función de la complejidad de la transición, el tamaño de la empresa y el grado de preparación del sucesor. Los mandatos más cortos se dan cuando el sucesor ya tiene una base directiva sólida y necesita apoyo en áreas específicas. Los más largos corresponden a transiciones donde la profesionalización de la organización es parte central del trabajo.</w:t>
      </w:r>
    </w:p>
    <w:p>
      <w:pPr>
        <w:spacing w:after="100" w:before="240"/>
      </w:pPr>
      <w:r>
        <w:rPr>
          <w:rFonts w:ascii="Arial" w:cs="Arial" w:eastAsia="Arial" w:hAnsi="Arial"/>
          <w:b/>
          <w:bCs/>
          <w:sz w:val="24"/>
          <w:szCs w:val="24"/>
        </w:rPr>
        <w:t xml:space="preserve">¿El interim manager puede generar conflictos con la familia propietaria?</w:t>
      </w:r>
    </w:p>
    <w:p>
      <w:pPr>
        <w:spacing w:after="200"/>
      </w:pPr>
      <w:r>
        <w:rPr>
          <w:rFonts w:ascii="Arial" w:cs="Arial" w:eastAsia="Arial" w:hAnsi="Arial"/>
          <w:sz w:val="24"/>
          <w:szCs w:val="24"/>
        </w:rPr>
        <w:t xml:space="preserve">Un directivo interino bien seleccionado trabaja con la familia, no frente a ella. Su posición como externo con autoridad ejecutiva temporal le permite tomar decisiones difíciles con neutralidad — algo que un miembro de la familia no siempre puede hacer sin que la decisión se interprete como una toma de posición interna. La clave está en una selección rigurosa del perfil y en un encuadre claro del mandato desde el inicio.</w:t>
      </w:r>
    </w:p>
    <w:p>
      <w:pPr>
        <w:spacing w:after="100" w:before="240"/>
      </w:pPr>
      <w:r>
        <w:rPr>
          <w:rFonts w:ascii="Arial" w:cs="Arial" w:eastAsia="Arial" w:hAnsi="Arial"/>
          <w:b/>
          <w:bCs/>
          <w:sz w:val="24"/>
          <w:szCs w:val="24"/>
        </w:rPr>
        <w:t xml:space="preserve">¿Qué diferencia hay entre contratar un interim manager y fichar un director general externo definitivo?</w:t>
      </w:r>
    </w:p>
    <w:p>
      <w:pPr>
        <w:spacing w:after="200"/>
      </w:pPr>
      <w:r>
        <w:rPr>
          <w:rFonts w:ascii="Arial" w:cs="Arial" w:eastAsia="Arial" w:hAnsi="Arial"/>
          <w:sz w:val="24"/>
          <w:szCs w:val="24"/>
        </w:rPr>
        <w:t xml:space="preserve">La búsqueda ejecutiva de un director general permanente tarda entre cuatro y nueve meses. El interim manager está operativo en menos de diez días. Además, el directivo interino no tiene intereses permanentes en la empresa: su único objetivo es completar el mandato con éxito y garantizar una transición sólida. No hay negociación de equity, no hay política de largo plazo y no hay riesgo de que el directivo compita con el sucesor designado.</w:t>
      </w:r>
    </w:p>
    <w:p>
      <w:pPr>
        <w:spacing w:after="160"/>
      </w:pPr>
      <w:r>
        <w:t xml:space="preserve"/>
      </w:r>
    </w:p>
    <w:p>
      <w:pPr>
        <w:pStyle w:val="Heading2"/>
        <w:spacing w:after="180" w:before="320"/>
      </w:pPr>
      <w:r>
        <w:rPr>
          <w:rFonts w:ascii="Arial" w:cs="Arial" w:eastAsia="Arial" w:hAnsi="Arial"/>
        </w:rPr>
        <w:t xml:space="preserve">Sugerencias de enlazado interno</w:t>
      </w:r>
    </w:p>
    <w:p>
      <w:pPr>
        <w:spacing w:after="100"/>
      </w:pPr>
      <w:r>
        <w:rPr>
          <w:rFonts w:ascii="Arial" w:cs="Arial" w:eastAsia="Arial" w:hAnsi="Arial"/>
          <w:color w:val="444444"/>
          <w:sz w:val="20"/>
          <w:szCs w:val="20"/>
        </w:rPr>
        <w:t xml:space="preserve">1. Enlazar "interim management" (primer uso en el artículo) → Página de servicios de interim management de Manager in Motion.</w:t>
      </w:r>
    </w:p>
    <w:p>
      <w:pPr>
        <w:spacing w:after="100"/>
      </w:pPr>
      <w:r>
        <w:rPr>
          <w:rFonts w:ascii="Arial" w:cs="Arial" w:eastAsia="Arial" w:hAnsi="Arial"/>
          <w:color w:val="444444"/>
          <w:sz w:val="20"/>
          <w:szCs w:val="20"/>
        </w:rPr>
        <w:t xml:space="preserve">2. Enlazar "interim CEO" (sección de perfiles y caso de uso) → Perfil de interim CEO / Director General interino.</w:t>
      </w:r>
    </w:p>
    <w:p>
      <w:pPr>
        <w:spacing w:after="100"/>
      </w:pPr>
      <w:r>
        <w:rPr>
          <w:rFonts w:ascii="Arial" w:cs="Arial" w:eastAsia="Arial" w:hAnsi="Arial"/>
          <w:color w:val="444444"/>
          <w:sz w:val="20"/>
          <w:szCs w:val="20"/>
        </w:rPr>
        <w:t xml:space="preserve">3. Enlazar "habla con un especialista" y "Solicitar consulta gratuita" (CTA) → Página de contacto / formulario de consulta.</w:t>
      </w:r>
    </w:p>
    <w:p>
      <w:pPr>
        <w:spacing w:after="100"/>
      </w:pPr>
      <w:r>
        <w:rPr>
          <w:rFonts w:ascii="Arial" w:cs="Arial" w:eastAsia="Arial" w:hAnsi="Arial"/>
          <w:color w:val="444444"/>
          <w:sz w:val="20"/>
          <w:szCs w:val="20"/>
        </w:rPr>
        <w:t xml:space="preserve">4. Si existen artículos previos sobre profesionalización de empresas familiares o casos de éxito, enlazar desde las secciones pertinentes.</w:t>
      </w:r>
    </w:p>
    <w:p>
      <w:pPr>
        <w:spacing w:after="200" w:before="400"/>
      </w:pPr>
      <w:r>
        <w:rPr>
          <w:rFonts w:ascii="Arial" w:cs="Arial" w:eastAsia="Arial" w:hAnsi="Arial"/>
          <w:color w:val="BBBBBB"/>
          <w:sz w:val="18"/>
          <w:szCs w:val="18"/>
        </w:rPr>
        <w:t xml:space="preserve">──────────────────────────────────────────────────────────────────────</w:t>
      </w:r>
    </w:p>
    <w:p>
      <w:pPr>
        <w:spacing w:after="200"/>
      </w:pPr>
      <w:r>
        <w:rPr>
          <w:rFonts w:ascii="Arial" w:cs="Arial" w:eastAsia="Arial" w:hAnsi="Arial"/>
          <w:b/>
          <w:bCs/>
          <w:i/>
          <w:iCs/>
          <w:color w:val="888888"/>
          <w:sz w:val="20"/>
          <w:szCs w:val="20"/>
        </w:rPr>
        <w:t xml:space="preserve">FUERA DEL ARTÍCULO — Solo para uso editorial</w:t>
      </w:r>
    </w:p>
    <w:p>
      <w:pPr>
        <w:pStyle w:val="Heading2"/>
        <w:spacing w:after="180" w:before="320"/>
      </w:pPr>
      <w:r>
        <w:rPr>
          <w:rFonts w:ascii="Arial" w:cs="Arial" w:eastAsia="Arial" w:hAnsi="Arial"/>
        </w:rPr>
        <w:t xml:space="preserve">Fuentes consultadas</w:t>
      </w:r>
    </w:p>
    <w:p>
      <w:pPr>
        <w:spacing w:after="100"/>
      </w:pPr>
      <w:r>
        <w:rPr>
          <w:rFonts w:ascii="Arial" w:cs="Arial" w:eastAsia="Arial" w:hAnsi="Arial"/>
          <w:color w:val="444444"/>
          <w:sz w:val="20"/>
          <w:szCs w:val="20"/>
        </w:rPr>
        <w:t xml:space="preserve">1. Instituto de la Empresa Familiar (IEF) — ief.es. Datos sobre el número de empresas familiares españolas ante el relevo generacional y su peso en el empleo y el PIB.</w:t>
      </w:r>
    </w:p>
    <w:p>
      <w:pPr>
        <w:spacing w:after="100"/>
      </w:pPr>
      <w:r>
        <w:rPr>
          <w:rFonts w:ascii="Arial" w:cs="Arial" w:eastAsia="Arial" w:hAnsi="Arial"/>
          <w:color w:val="444444"/>
          <w:sz w:val="20"/>
          <w:szCs w:val="20"/>
        </w:rPr>
        <w:t xml:space="preserve">2. Norman Broadbent Insights 2026 — normanbroadbent.com/insights/from-gap-fillers-to-growth-drivers-how-interim-leadership-is-evolving-in-2026/. Crecimiento del 80% interanual en la demanda de interim CEO en Europa.</w:t>
      </w:r>
    </w:p>
    <w:p>
      <w:pPr>
        <w:spacing w:after="100"/>
      </w:pPr>
      <w:r>
        <w:rPr>
          <w:rFonts w:ascii="Arial" w:cs="Arial" w:eastAsia="Arial" w:hAnsi="Arial"/>
          <w:color w:val="444444"/>
          <w:sz w:val="20"/>
          <w:szCs w:val="20"/>
        </w:rPr>
        <w:t xml:space="preserve">3. DDIM Marktstudie 2026 — ddim.de. Referencia del mercado alemán e internacional de interim management como benchmark europeo en contextos de transición generacional familiar.</w:t>
      </w:r>
    </w:p>
    <w:p>
      <w:pPr>
        <w:spacing w:after="100"/>
      </w:pPr>
      <w:r>
        <w:rPr>
          <w:rFonts w:ascii="Arial" w:cs="Arial" w:eastAsia="Arial" w:hAnsi="Arial"/>
          <w:color w:val="444444"/>
          <w:sz w:val="20"/>
          <w:szCs w:val="20"/>
        </w:rPr>
        <w:t xml:space="preserve">4. Dato sobre plazo de incorporación del interim manager (&lt; 10 días) y plazo de búsqueda ejecutiva tradicional (4-9 meses): práctica habitual del sector, verificable a través de los informes de INIMA y las asociaciones europeas de interim management.</w:t>
      </w:r>
    </w:p>
    <w:p>
      <w:pPr>
        <w:spacing w:after="160"/>
      </w:pPr>
      <w:r>
        <w:t xml:space="preserve"/>
      </w:r>
    </w:p>
    <w:p>
      <w:pPr>
        <w:pStyle w:val="Heading2"/>
        <w:spacing w:after="180" w:before="320"/>
      </w:pPr>
      <w:r>
        <w:rPr>
          <w:rFonts w:ascii="Arial" w:cs="Arial" w:eastAsia="Arial" w:hAnsi="Arial"/>
        </w:rPr>
        <w:t xml:space="preserve">Notas de revisión final</w:t>
      </w:r>
    </w:p>
    <w:p>
      <w:pPr>
        <w:spacing w:after="100"/>
      </w:pPr>
      <w:r>
        <w:rPr>
          <w:rFonts w:ascii="Arial" w:cs="Arial" w:eastAsia="Arial" w:hAnsi="Arial"/>
          <w:color w:val="444444"/>
          <w:sz w:val="20"/>
          <w:szCs w:val="20"/>
        </w:rPr>
        <w:t xml:space="preserve">- Verificar que el dato "150.000 empresas familiares" figura con esa cifra exacta en la publicación más reciente del IEF antes de publicar.</w:t>
      </w:r>
    </w:p>
    <w:p>
      <w:pPr>
        <w:spacing w:after="100"/>
      </w:pPr>
      <w:r>
        <w:rPr>
          <w:rFonts w:ascii="Arial" w:cs="Arial" w:eastAsia="Arial" w:hAnsi="Arial"/>
          <w:color w:val="444444"/>
          <w:sz w:val="20"/>
          <w:szCs w:val="20"/>
        </w:rPr>
        <w:t xml:space="preserve">- Confirmar que el informe Norman Broadbent 2026 está accesible en la URL indicada y que el dato del 80% corresponde al período más reciente disponible.</w:t>
      </w:r>
    </w:p>
    <w:p>
      <w:pPr>
        <w:spacing w:after="100"/>
      </w:pPr>
      <w:r>
        <w:rPr>
          <w:rFonts w:ascii="Arial" w:cs="Arial" w:eastAsia="Arial" w:hAnsi="Arial"/>
          <w:color w:val="444444"/>
          <w:sz w:val="20"/>
          <w:szCs w:val="20"/>
        </w:rPr>
        <w:t xml:space="preserve">- El caso de uso anonimizado es ficticio y verosímil. No representa a ninguna empresa real identificable. Validar con el equipo legal si se añade algún detalle sectorial adicional.</w:t>
      </w:r>
    </w:p>
    <w:p>
      <w:pPr>
        <w:spacing w:after="100"/>
      </w:pPr>
      <w:r>
        <w:rPr>
          <w:rFonts w:ascii="Arial" w:cs="Arial" w:eastAsia="Arial" w:hAnsi="Arial"/>
          <w:color w:val="444444"/>
          <w:sz w:val="20"/>
          <w:szCs w:val="20"/>
        </w:rPr>
        <w:t xml:space="preserve">- Añadir los URLs internos reales de Manager in Motion en los puntos de enlazado indicados antes de publicar.</w:t>
      </w:r>
    </w:p>
    <w:p>
      <w:pPr>
        <w:spacing w:after="100"/>
      </w:pPr>
      <w:r>
        <w:rPr>
          <w:rFonts w:ascii="Arial" w:cs="Arial" w:eastAsia="Arial" w:hAnsi="Arial"/>
          <w:color w:val="444444"/>
          <w:sz w:val="20"/>
          <w:szCs w:val="20"/>
        </w:rPr>
        <w:t xml:space="preserve">- Implementar Article schema y FAQPage schema tal como se detalla en el brief del Agente 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80" w:before="400"/>
      <w:outlineLvl w:val="0"/>
    </w:pPr>
    <w:rPr>
      <w:rFonts w:ascii="Arial" w:cs="Arial" w:eastAsia="Arial" w:hAnsi="Arial"/>
      <w:b/>
      <w:bCs/>
      <w:color w:val="1F3864"/>
      <w:sz w:val="40"/>
      <w:szCs w:val="40"/>
    </w:rPr>
  </w:style>
  <w:style w:type="paragraph" w:styleId="Heading2">
    <w:name w:val="Heading 2"/>
    <w:basedOn w:val="Normal"/>
    <w:next w:val="Normal"/>
    <w:qFormat/>
    <w:pPr>
      <w:spacing w:after="180" w:before="320"/>
      <w:outlineLvl w:val="1"/>
    </w:pPr>
    <w:rPr>
      <w:rFonts w:ascii="Arial" w:cs="Arial" w:eastAsia="Arial" w:hAnsi="Arial"/>
      <w:b/>
      <w:bCs/>
      <w:color w:val="2E75B6"/>
      <w:sz w:val="30"/>
      <w:szCs w:val="30"/>
    </w:rPr>
  </w:style>
  <w:style w:type="paragraph" w:styleId="Heading3">
    <w:name w:val="Heading 3"/>
    <w:basedOn w:val="Normal"/>
    <w:next w:val="Normal"/>
    <w:qFormat/>
    <w:pPr>
      <w:spacing w:after="140" w:before="24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2026-06-15T06:26:16.801Z</dcterms:created>
  <dcterms:modified xsi:type="dcterms:W3CDTF">2026-06-15T06:26:16.801Z</dcterms:modified>
</cp:coreProperties>
</file>

<file path=docProps/custom.xml><?xml version="1.0" encoding="utf-8"?>
<Properties xmlns="http://schemas.openxmlformats.org/officeDocument/2006/custom-properties" xmlns:vt="http://schemas.openxmlformats.org/officeDocument/2006/docPropsVTypes"/>
</file>