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555555"/>
          <w:sz w:val="22"/>
          <w:szCs w:val="22"/>
        </w:rPr>
        <w:t xml:space="preserve">Título SEO: </w:t>
      </w:r>
      <w:r>
        <w:rPr>
          <w:rFonts w:ascii="Arial" w:cs="Arial" w:eastAsia="Arial" w:hAnsi="Arial"/>
          <w:color w:val="333333"/>
          <w:sz w:val="22"/>
          <w:szCs w:val="22"/>
        </w:rPr>
        <w:t xml:space="preserve">Directivo interino para transformación empresarial en España 2026</w:t>
      </w:r>
    </w:p>
    <w:p>
      <w:pPr>
        <w:spacing w:after="80" w:before="0"/>
      </w:pPr>
      <w:r>
        <w:rPr>
          <w:rFonts w:ascii="Arial" w:cs="Arial" w:eastAsia="Arial" w:hAnsi="Arial"/>
          <w:b/>
          <w:bCs/>
          <w:color w:val="555555"/>
          <w:sz w:val="22"/>
          <w:szCs w:val="22"/>
        </w:rPr>
        <w:t xml:space="preserve">Meta descripción: </w:t>
      </w:r>
      <w:r>
        <w:rPr>
          <w:rFonts w:ascii="Arial" w:cs="Arial" w:eastAsia="Arial" w:hAnsi="Arial"/>
          <w:color w:val="333333"/>
          <w:sz w:val="22"/>
          <w:szCs w:val="22"/>
        </w:rPr>
        <w:t xml:space="preserve">Cuando la transformación no puede esperar: cómo el interim manager cubre el gap de capacidades que frena el cambio en la empresa española. Datos KPMG y EY 2026.</w:t>
      </w:r>
    </w:p>
    <w:p>
      <w:pPr>
        <w:spacing w:after="80" w:before="0"/>
      </w:pPr>
      <w:r>
        <w:rPr>
          <w:rFonts w:ascii="Arial" w:cs="Arial" w:eastAsia="Arial" w:hAnsi="Arial"/>
          <w:b/>
          <w:bCs/>
          <w:color w:val="555555"/>
          <w:sz w:val="22"/>
          <w:szCs w:val="22"/>
        </w:rPr>
        <w:t xml:space="preserve">URL slug: </w:t>
      </w:r>
      <w:r>
        <w:rPr>
          <w:rFonts w:ascii="Arial" w:cs="Arial" w:eastAsia="Arial" w:hAnsi="Arial"/>
          <w:color w:val="333333"/>
          <w:sz w:val="22"/>
          <w:szCs w:val="22"/>
        </w:rPr>
        <w:t xml:space="preserve">/blog/directivo-interino-transformacion-empresarial-espana-2026</w:t>
      </w:r>
    </w:p>
    <w:p>
      <w:pPr>
        <w:spacing w:after="320"/>
      </w:pPr>
    </w:p>
    <w:p>
      <w:pPr>
        <w:pStyle w:val="Heading1"/>
        <w:spacing w:after="280" w:before="0"/>
      </w:pPr>
      <w:r>
        <w:rPr>
          <w:rFonts w:ascii="Arial" w:cs="Arial" w:eastAsia="Arial" w:hAnsi="Arial"/>
          <w:b/>
          <w:bCs/>
          <w:color w:val="1F3864"/>
          <w:sz w:val="36"/>
          <w:szCs w:val="36"/>
        </w:rPr>
        <w:t xml:space="preserve">El directivo interino de transformación: el ejecutor que falta en la empresa española</w:t>
      </w:r>
    </w:p>
    <w:p>
      <w:pPr>
        <w:spacing w:after="200" w:before="0"/>
      </w:pPr>
      <w:r>
        <w:rPr>
          <w:rFonts w:ascii="Arial" w:cs="Arial" w:eastAsia="Arial" w:hAnsi="Arial"/>
          <w:b w:val="false"/>
          <w:bCs w:val="false"/>
          <w:sz w:val="24"/>
          <w:szCs w:val="24"/>
        </w:rPr>
        <w:t xml:space="preserve">La transformación empresarial es la prioridad número uno de los consejos de administración españoles en 2026. Más de 1.200 directivos encuestados lo confirman: digitalización acelerada, integración de inteligencia artificial en procesos de negocio y cambios organizativos de calado. El problema no es la ambición. Es la ejecución. Los mismos responsables señalan la falta de capacidades internas y la resistencia al cambio como los dos obstáculos principales que impiden convertir esa agenda en resultados medibles.</w:t>
      </w:r>
    </w:p>
    <w:p>
      <w:pPr>
        <w:spacing w:after="200" w:before="0"/>
      </w:pPr>
      <w:r>
        <w:rPr>
          <w:rFonts w:ascii="Arial" w:cs="Arial" w:eastAsia="Arial" w:hAnsi="Arial"/>
          <w:b w:val="false"/>
          <w:bCs w:val="false"/>
          <w:sz w:val="24"/>
          <w:szCs w:val="24"/>
        </w:rPr>
        <w:t xml:space="preserve">El gap no es de estrategia. Es de liderazgo ejecutivo con mandato real de cambio. Y la respuesta no llega a través de otra ronda de consultoría externa ni de una contratación permanente que tardará meses en incorporarse y años en generar impacto visible. El interim manager de transformación resuelve exactamente ese problema: se incorpora con autoridad ejecutiva, diagnóstico acelerado y experiencia probada en misiones similares.</w:t>
      </w:r>
    </w:p>
    <w:p>
      <w:pPr>
        <w:pStyle w:val="Heading2"/>
        <w:spacing w:after="160" w:before="320"/>
      </w:pPr>
      <w:r>
        <w:rPr>
          <w:rFonts w:ascii="Arial" w:cs="Arial" w:eastAsia="Arial" w:hAnsi="Arial"/>
          <w:b/>
          <w:bCs/>
          <w:color w:val="2E75B6"/>
          <w:sz w:val="28"/>
          <w:szCs w:val="28"/>
        </w:rPr>
        <w:t xml:space="preserve">El diagnóstico que confirman los datos: querer transformarse y no poder ejecutar</w:t>
      </w:r>
    </w:p>
    <w:p>
      <w:pPr>
        <w:spacing w:after="200" w:before="0"/>
      </w:pPr>
      <w:r>
        <w:rPr>
          <w:rFonts w:ascii="Arial" w:cs="Arial" w:eastAsia="Arial" w:hAnsi="Arial"/>
          <w:b w:val="false"/>
          <w:bCs w:val="false"/>
          <w:sz w:val="24"/>
          <w:szCs w:val="24"/>
        </w:rPr>
        <w:t xml:space="preserve">Siete de cada diez empresas españolas tienen hoy una posición financiera sólida para acometer inversiones estratégicas. No es un problema de presupuesto. Lo que escasea es el perfil ejecutivo con experiencia real en transformaciones de esta magnitud y la autoridad temporal para ejecutarlas sin la fricción política que paraliza los proyectos desde dentro.</w:t>
      </w:r>
    </w:p>
    <w:p>
      <w:pPr>
        <w:spacing w:after="200" w:before="0"/>
      </w:pPr>
      <w:r>
        <w:rPr>
          <w:rFonts w:ascii="Arial" w:cs="Arial" w:eastAsia="Arial" w:hAnsi="Arial"/>
          <w:b w:val="false"/>
          <w:bCs w:val="false"/>
          <w:sz w:val="24"/>
          <w:szCs w:val="24"/>
        </w:rPr>
        <w:t xml:space="preserve">El coste de contratar ese perfil de forma permanente crece por encima de la inflación en 2026. Los nuevos tramos de cotización social incrementan adicionalmente el coste estructural de cualquier incorporación en el nivel ejecutivo superior. En este contexto, el interim management emerge como la alternativa que combina velocidad de incorporación, coste controlado y ausencia de riesgo estructural para la organización.</w:t>
      </w:r>
    </w:p>
    <w:p>
      <w:pPr>
        <w:spacing w:after="200" w:before="0"/>
      </w:pPr>
      <w:r>
        <w:rPr>
          <w:rFonts w:ascii="Arial" w:cs="Arial" w:eastAsia="Arial" w:hAnsi="Arial"/>
          <w:b w:val="false"/>
          <w:bCs w:val="false"/>
          <w:sz w:val="24"/>
          <w:szCs w:val="24"/>
        </w:rPr>
        <w:t xml:space="preserve">La señal del mercado europeo más maduro en este modelo es clara y anticipatoria. En Francia, el 24% de las misiones de interim management ya corresponden a proyectos de transformación, con una duración media de 8,3 meses. España sigue ese mismo patrón con un desfase estimado de entre doce y dieciocho meses. Las organizaciones que adopten el modelo ahora capturan la ventaja de la curva de aprendizaje antes de que sea práctica generalizada en el mercado.</w:t>
      </w:r>
    </w:p>
    <w:p>
      <w:pPr>
        <w:pStyle w:val="Heading2"/>
        <w:spacing w:after="160" w:before="320"/>
      </w:pPr>
      <w:r>
        <w:rPr>
          <w:rFonts w:ascii="Arial" w:cs="Arial" w:eastAsia="Arial" w:hAnsi="Arial"/>
          <w:b/>
          <w:bCs/>
          <w:color w:val="2E75B6"/>
          <w:sz w:val="28"/>
          <w:szCs w:val="28"/>
        </w:rPr>
        <w:t xml:space="preserve">Qué hace exactamente un interim manager de transformación</w:t>
      </w:r>
    </w:p>
    <w:p>
      <w:pPr>
        <w:spacing w:after="200" w:before="0"/>
      </w:pPr>
      <w:r>
        <w:rPr>
          <w:rFonts w:ascii="Arial" w:cs="Arial" w:eastAsia="Arial" w:hAnsi="Arial"/>
          <w:b w:val="false"/>
          <w:bCs w:val="false"/>
          <w:sz w:val="24"/>
          <w:szCs w:val="24"/>
        </w:rPr>
        <w:t xml:space="preserve">La figura no es la de un consultor que elabora un informe y entrega recomendaciones. El interim manager de transformación se incorpora con autoridad ejecutiva real —reportando directamente al CEO o al Consejo de Administración—, establece un diagnóstico en los primeros días de misión y lidera la ejecución con responsabilidad directa sobre los resultados.</w:t>
      </w:r>
    </w:p>
    <w:p>
      <w:pPr>
        <w:spacing w:after="200" w:before="0"/>
      </w:pPr>
      <w:r>
        <w:rPr>
          <w:rFonts w:ascii="Arial" w:cs="Arial" w:eastAsia="Arial" w:hAnsi="Arial"/>
          <w:b w:val="false"/>
          <w:bCs w:val="false"/>
          <w:sz w:val="24"/>
          <w:szCs w:val="24"/>
        </w:rPr>
        <w:t xml:space="preserve">Los perfiles de nueva generación integran herramientas de análisis e inteligencia artificial en su metodología desde el primer día. Eso comprime el diagnóstico inicial de semanas a días, acelera la identificación de las palancas críticas y permite modelar escenarios de decisión con datos reales en los primeros treinta días de misión. El impacto medible llega antes. En un proyecto con un plazo acotado, eso es un diferencial que los modelos alternativos de liderazgo externo no pueden replicar.</w:t>
      </w:r>
    </w:p>
    <w:p>
      <w:pPr>
        <w:spacing w:after="200" w:before="0"/>
      </w:pPr>
      <w:r>
        <w:rPr>
          <w:rFonts w:ascii="Arial" w:cs="Arial" w:eastAsia="Arial" w:hAnsi="Arial"/>
          <w:b w:val="false"/>
          <w:bCs w:val="false"/>
          <w:sz w:val="24"/>
          <w:szCs w:val="24"/>
        </w:rPr>
        <w:t xml:space="preserve">Los cuatro contextos donde el interim management aporta el mayor impacto diferencial son la transformación digital, la implementación de inteligencia artificial en procesos de negocio, la gestión del cambio cultural en reestructuraciones y la integración post-fusión. En todos ellos el denominador común es el mismo: una organización que sabe adónde tiene que ir y necesita a alguien que ya haya estado allí antes.</w:t>
      </w:r>
    </w:p>
    <w:p>
      <w:pPr>
        <w:pStyle w:val="Heading2"/>
        <w:spacing w:after="160" w:before="320"/>
      </w:pPr>
      <w:r>
        <w:rPr>
          <w:rFonts w:ascii="Arial" w:cs="Arial" w:eastAsia="Arial" w:hAnsi="Arial"/>
          <w:b/>
          <w:bCs/>
          <w:color w:val="2E75B6"/>
          <w:sz w:val="28"/>
          <w:szCs w:val="28"/>
        </w:rPr>
        <w:t xml:space="preserve">Interino, consultor o contratación permanente: tres criterios para decidir</w:t>
      </w:r>
    </w:p>
    <w:p>
      <w:pPr>
        <w:spacing w:after="200" w:before="0"/>
      </w:pPr>
      <w:r>
        <w:rPr>
          <w:rFonts w:ascii="Arial" w:cs="Arial" w:eastAsia="Arial" w:hAnsi="Arial"/>
          <w:b w:val="false"/>
          <w:bCs w:val="false"/>
          <w:sz w:val="24"/>
          <w:szCs w:val="24"/>
        </w:rPr>
        <w:t xml:space="preserve">La decisión tiene tres dimensiones que el decisor debe comparar antes de actuar.</w:t>
      </w:r>
    </w:p>
    <w:p>
      <w:pPr>
        <w:spacing w:after="200" w:before="0"/>
      </w:pPr>
      <w:r>
        <w:rPr>
          <w:rFonts w:ascii="Arial" w:cs="Arial" w:eastAsia="Arial" w:hAnsi="Arial"/>
          <w:b/>
          <w:bCs/>
          <w:sz w:val="24"/>
          <w:szCs w:val="24"/>
        </w:rPr>
        <w:t xml:space="preserve">Coste total.</w:t>
      </w:r>
      <w:r>
        <w:rPr>
          <w:rFonts w:ascii="Arial" w:cs="Arial" w:eastAsia="Arial" w:hAnsi="Arial"/>
          <w:sz w:val="24"/>
          <w:szCs w:val="24"/>
        </w:rPr>
        <w:t xml:space="preserve"> La contratación permanente de un ejecutivo senior incluye salario, variable, cotizaciones sociales y riesgo de desvinculación. Con los nuevos tramos contributivos en vigor en 2026, el coste total de un perfil C-suite puede superar con claridad el coste de un interim manager durante toda la misión, con la diferencia de que la primera opción se convierte en coste estructural indefinido. El interim management tiene una tarifa más visible por día, pero un coste total y un riesgo organizacional significativamente menores.</w:t>
      </w:r>
    </w:p>
    <w:p>
      <w:pPr>
        <w:spacing w:after="200" w:before="0"/>
      </w:pPr>
      <w:r>
        <w:rPr>
          <w:rFonts w:ascii="Arial" w:cs="Arial" w:eastAsia="Arial" w:hAnsi="Arial"/>
          <w:b/>
          <w:bCs/>
          <w:sz w:val="24"/>
          <w:szCs w:val="24"/>
        </w:rPr>
        <w:t xml:space="preserve">Velocidad de incorporación.</w:t>
      </w:r>
      <w:r>
        <w:rPr>
          <w:rFonts w:ascii="Arial" w:cs="Arial" w:eastAsia="Arial" w:hAnsi="Arial"/>
          <w:sz w:val="24"/>
          <w:szCs w:val="24"/>
        </w:rPr>
        <w:t xml:space="preserve"> Un proceso de selección ejecutiva estándar exige entre cuatro y seis meses desde el primer contacto hasta la incorporación efectiva. Un interim manager de transformación puede estar operativo en menos de diez días hábiles desde el primer contacto con la firma especializada. En proyectos donde la ventana de ejecución es corta, esa diferencia define el resultado.</w:t>
      </w:r>
    </w:p>
    <w:p>
      <w:pPr>
        <w:spacing w:after="200" w:before="0"/>
      </w:pPr>
      <w:r>
        <w:rPr>
          <w:rFonts w:ascii="Arial" w:cs="Arial" w:eastAsia="Arial" w:hAnsi="Arial"/>
          <w:b/>
          <w:bCs/>
          <w:sz w:val="24"/>
          <w:szCs w:val="24"/>
        </w:rPr>
        <w:t xml:space="preserve">Autoridad ejecutiva.</w:t>
      </w:r>
      <w:r>
        <w:rPr>
          <w:rFonts w:ascii="Arial" w:cs="Arial" w:eastAsia="Arial" w:hAnsi="Arial"/>
          <w:sz w:val="24"/>
          <w:szCs w:val="24"/>
        </w:rPr>
        <w:t xml:space="preserve"> El consultor analiza, recomienda e informa. El interim manager decide, ejecuta y rinde cuentas. En proyectos donde la resistencia interna al cambio es el obstáculo principal, esa distinción determina si el proyecto avanza o se bloquea.</w:t>
      </w:r>
    </w:p>
    <w:p>
      <w:pPr>
        <w:spacing w:after="200" w:before="0"/>
      </w:pPr>
      <w:r>
        <w:rPr>
          <w:rFonts w:ascii="Arial" w:cs="Arial" w:eastAsia="Arial" w:hAnsi="Arial"/>
          <w:b w:val="false"/>
          <w:bCs w:val="false"/>
          <w:sz w:val="24"/>
          <w:szCs w:val="24"/>
        </w:rPr>
        <w:t xml:space="preserve">La contratación permanente solo tiene sentido cuando la función se mantiene más allá de la misión de transformación y el mercado de talento permite incorporar el perfil en el plazo que el negocio requiere. En 2026, esa segunda condición rara vez se cumple en el mercado español.</w:t>
      </w:r>
    </w:p>
    <w:p>
      <w:pPr>
        <w:pBdr>
          <w:left w:val="single" w:color="2E75B6" w:sz="6" w:space="12"/>
        </w:pBdr>
        <w:spacing w:after="240" w:before="240"/>
        <w:ind w:left="431"/>
      </w:pPr>
      <w:r>
        <w:rPr>
          <w:rFonts w:ascii="Arial" w:cs="Arial" w:eastAsia="Arial" w:hAnsi="Arial"/>
          <w:b/>
          <w:bCs/>
          <w:i/>
          <w:iCs/>
          <w:color w:val="1F3864"/>
          <w:sz w:val="24"/>
          <w:szCs w:val="24"/>
        </w:rPr>
        <w:t xml:space="preserve">¿Evalúas opciones de liderazgo para tu proyecto de transformación? Cuéntanos el contexto. La primera conversación no tiene coste.</w:t>
      </w:r>
    </w:p>
    <w:p>
      <w:pPr>
        <w:spacing w:after="200" w:before="0"/>
      </w:pPr>
      <w:r>
        <w:rPr>
          <w:rFonts w:ascii="Arial" w:cs="Arial" w:eastAsia="Arial" w:hAnsi="Arial"/>
          <w:b w:val="false"/>
          <w:bCs w:val="false"/>
          <w:sz w:val="24"/>
          <w:szCs w:val="24"/>
        </w:rPr>
        <w:t xml:space="preserve">Las agendas de transformación no pueden esperar a que el mercado de talento ejecutivo se estabilice. La ventana de competitividad que abre la integración de la inteligencia artificial en los procesos de negocio tiene un horizonte temporal concreto: las organizaciones que ejecuten antes capturarán ventajas estructurales difíciles de revertir. El interim manager de transformación es el perfil que convierte esa urgencia estratégica en acción ejecutiva, con el mandato, la metodología y la experiencia necesarias para hacerlo sin demoras ni costes estructurales innecesarios.</w:t>
      </w:r>
    </w:p>
    <w:p>
      <w:pPr>
        <w:pBdr>
          <w:left w:val="single" w:color="2E75B6" w:sz="6" w:space="12"/>
        </w:pBdr>
        <w:spacing w:after="240" w:before="240"/>
        <w:ind w:left="431"/>
      </w:pPr>
      <w:r>
        <w:rPr>
          <w:rFonts w:ascii="Arial" w:cs="Arial" w:eastAsia="Arial" w:hAnsi="Arial"/>
          <w:b/>
          <w:bCs/>
          <w:i/>
          <w:iCs/>
          <w:color w:val="1F3864"/>
          <w:sz w:val="24"/>
          <w:szCs w:val="24"/>
        </w:rPr>
        <w:t xml:space="preserve">Si tu empresa está ante un proyecto de transformación y necesitas un interim manager con experiencia probada en misiones similares, podemos ayudarte. En 48 horas te presentamos perfiles. Sin compromiso.</w:t>
      </w:r>
    </w:p>
    <w:p>
      <w:pPr>
        <w:spacing w:after="400" w:before="400"/>
      </w:pPr>
      <w:r>
        <w:rPr>
          <w:rFonts w:ascii="Arial" w:cs="Arial" w:eastAsia="Arial" w:hAnsi="Arial"/>
          <w:color w:val="CCCCCC"/>
          <w:sz w:val="20"/>
          <w:szCs w:val="20"/>
        </w:rPr>
        <w:t xml:space="preserve">─────────────────────────────────────────</w:t>
      </w:r>
    </w:p>
    <w:p>
      <w:pPr>
        <w:spacing w:after="200"/>
      </w:pPr>
      <w:r>
        <w:rPr>
          <w:rFonts w:ascii="Arial" w:cs="Arial" w:eastAsia="Arial" w:hAnsi="Arial"/>
          <w:b/>
          <w:bCs/>
          <w:i/>
          <w:iCs/>
          <w:color w:val="999999"/>
          <w:sz w:val="20"/>
          <w:szCs w:val="20"/>
        </w:rPr>
        <w:t xml:space="preserve">FUERA DEL ARTÍCULO — Solo para uso editorial</w:t>
      </w:r>
    </w:p>
    <w:p>
      <w:pPr>
        <w:pStyle w:val="Heading2"/>
        <w:spacing w:after="160" w:before="320"/>
      </w:pPr>
      <w:r>
        <w:rPr>
          <w:rFonts w:ascii="Arial" w:cs="Arial" w:eastAsia="Arial" w:hAnsi="Arial"/>
          <w:b/>
          <w:bCs/>
          <w:color w:val="2E75B6"/>
          <w:sz w:val="28"/>
          <w:szCs w:val="28"/>
        </w:rPr>
        <w:t xml:space="preserve">Preguntas frecuentes</w:t>
      </w:r>
    </w:p>
    <w:p>
      <w:pPr>
        <w:spacing w:after="80" w:before="240"/>
      </w:pPr>
      <w:r>
        <w:rPr>
          <w:rFonts w:ascii="Arial" w:cs="Arial" w:eastAsia="Arial" w:hAnsi="Arial"/>
          <w:b/>
          <w:bCs/>
          <w:color w:val="1F3864"/>
          <w:sz w:val="24"/>
          <w:szCs w:val="24"/>
        </w:rPr>
        <w:t xml:space="preserve">¿En qué se diferencia un interim manager de un consultor en un proyecto de transformación?</w:t>
      </w:r>
    </w:p>
    <w:p>
      <w:pPr>
        <w:spacing w:after="200" w:before="0"/>
      </w:pPr>
      <w:r>
        <w:rPr>
          <w:rFonts w:ascii="Arial" w:cs="Arial" w:eastAsia="Arial" w:hAnsi="Arial"/>
          <w:b w:val="false"/>
          <w:bCs w:val="false"/>
          <w:sz w:val="24"/>
          <w:szCs w:val="24"/>
        </w:rPr>
        <w:t xml:space="preserve">El interim manager asume autoridad ejecutiva real: entra en la organización con un mandato de liderazgo, toma decisiones y rinde cuentas de los resultados. El consultor externo analiza la situación y entrega recomendaciones, pero no ejecuta ni asume responsabilidad directa sobre los resultados del proyecto. En transformaciones donde la resistencia interna al cambio es el principal obstáculo, esa diferencia define el resultado.</w:t>
      </w:r>
    </w:p>
    <w:p>
      <w:pPr>
        <w:spacing w:after="80" w:before="240"/>
      </w:pPr>
      <w:r>
        <w:rPr>
          <w:rFonts w:ascii="Arial" w:cs="Arial" w:eastAsia="Arial" w:hAnsi="Arial"/>
          <w:b/>
          <w:bCs/>
          <w:color w:val="1F3864"/>
          <w:sz w:val="24"/>
          <w:szCs w:val="24"/>
        </w:rPr>
        <w:t xml:space="preserve">¿Cuánto tiempo tarda en incorporarse un interim manager de transformación?</w:t>
      </w:r>
    </w:p>
    <w:p>
      <w:pPr>
        <w:spacing w:after="200" w:before="0"/>
      </w:pPr>
      <w:r>
        <w:rPr>
          <w:rFonts w:ascii="Arial" w:cs="Arial" w:eastAsia="Arial" w:hAnsi="Arial"/>
          <w:b w:val="false"/>
          <w:bCs w:val="false"/>
          <w:sz w:val="24"/>
          <w:szCs w:val="24"/>
        </w:rPr>
        <w:t xml:space="preserve">Entre cinco y diez días hábiles desde el primer contacto con la firma especializada. Este es uno de los diferenciales más relevantes respecto a la selección ejecutiva permanente, que requiere entre cuatro y seis meses. Cuando la ventana de ejecución es corta o el proyecto ya está en marcha, la velocidad de incorporación es un factor que puede determinar el éxito de la misión.</w:t>
      </w:r>
    </w:p>
    <w:p>
      <w:pPr>
        <w:spacing w:after="80" w:before="240"/>
      </w:pPr>
      <w:r>
        <w:rPr>
          <w:rFonts w:ascii="Arial" w:cs="Arial" w:eastAsia="Arial" w:hAnsi="Arial"/>
          <w:b/>
          <w:bCs/>
          <w:color w:val="1F3864"/>
          <w:sz w:val="24"/>
          <w:szCs w:val="24"/>
        </w:rPr>
        <w:t xml:space="preserve">¿Puede un interim manager liderar la implementación de inteligencia artificial en mi empresa?</w:t>
      </w:r>
    </w:p>
    <w:p>
      <w:pPr>
        <w:spacing w:after="200" w:before="0"/>
      </w:pPr>
      <w:r>
        <w:rPr>
          <w:rFonts w:ascii="Arial" w:cs="Arial" w:eastAsia="Arial" w:hAnsi="Arial"/>
          <w:b w:val="false"/>
          <w:bCs w:val="false"/>
          <w:sz w:val="24"/>
          <w:szCs w:val="24"/>
        </w:rPr>
        <w:t xml:space="preserve">Sí. Los perfiles de interim manager de nueva generación integran herramientas de análisis e inteligencia artificial como parte de su metodología de trabajo. No solo pueden supervisar la implementación tecnológica: utilizan estas herramientas para comprimir el diagnóstico inicial, modelar escenarios y acelerar el impacto medible en los primeros treinta días. El interim management es, en este sentido, una de las vías más ágiles para acelerar la adopción de IA en las organizaciones.</w:t>
      </w:r>
    </w:p>
    <w:p>
      <w:pPr>
        <w:pStyle w:val="Heading2"/>
        <w:spacing w:after="160" w:before="320"/>
      </w:pPr>
      <w:r>
        <w:rPr>
          <w:rFonts w:ascii="Arial" w:cs="Arial" w:eastAsia="Arial" w:hAnsi="Arial"/>
          <w:b/>
          <w:bCs/>
          <w:color w:val="2E75B6"/>
          <w:sz w:val="28"/>
          <w:szCs w:val="28"/>
        </w:rPr>
        <w:t xml:space="preserve">Sugerencias de enlazado interno</w:t>
      </w:r>
    </w:p>
    <w:p>
      <w:pPr>
        <w:spacing w:after="200" w:before="0"/>
      </w:pPr>
      <w:r>
        <w:rPr>
          <w:rFonts w:ascii="Arial" w:cs="Arial" w:eastAsia="Arial" w:hAnsi="Arial"/>
          <w:b w:val="false"/>
          <w:bCs w:val="false"/>
          <w:sz w:val="24"/>
          <w:szCs w:val="24"/>
        </w:rPr>
        <w:t xml:space="preserve">1. Introducción → página de servicios de interim management de Manager in Motion. Anchor text sugerido: "interim management en España".</w:t>
      </w:r>
    </w:p>
    <w:p>
      <w:pPr>
        <w:spacing w:after="200" w:before="0"/>
      </w:pPr>
      <w:r>
        <w:rPr>
          <w:rFonts w:ascii="Arial" w:cs="Arial" w:eastAsia="Arial" w:hAnsi="Arial"/>
          <w:b w:val="false"/>
          <w:bCs w:val="false"/>
          <w:sz w:val="24"/>
          <w:szCs w:val="24"/>
        </w:rPr>
        <w:t xml:space="preserve">2. H2 sección 2 → perfil CDO interino (al mencionar "transformación digital") y perfil COO interino (al mencionar "integración post-fusión"). Anchor text: nombre del perfil funcional.</w:t>
      </w:r>
    </w:p>
    <w:p>
      <w:pPr>
        <w:spacing w:after="200" w:before="0"/>
      </w:pPr>
      <w:r>
        <w:rPr>
          <w:rFonts w:ascii="Arial" w:cs="Arial" w:eastAsia="Arial" w:hAnsi="Arial"/>
          <w:b w:val="false"/>
          <w:bCs w:val="false"/>
          <w:sz w:val="24"/>
          <w:szCs w:val="24"/>
        </w:rPr>
        <w:t xml:space="preserve">3. H2 sección 3 o FAQ → artículo sobre interim management en empresas familiares (si existe en el sitio; si no, marcarlo como prioridad editorial para el siguiente ciclo).</w:t>
      </w:r>
    </w:p>
    <w:p>
      <w:pPr>
        <w:pStyle w:val="Heading2"/>
        <w:spacing w:after="160" w:before="320"/>
      </w:pPr>
      <w:r>
        <w:rPr>
          <w:rFonts w:ascii="Arial" w:cs="Arial" w:eastAsia="Arial" w:hAnsi="Arial"/>
          <w:b/>
          <w:bCs/>
          <w:color w:val="2E75B6"/>
          <w:sz w:val="28"/>
          <w:szCs w:val="28"/>
        </w:rPr>
        <w:t xml:space="preserve">Fuentes consultadas</w:t>
      </w:r>
    </w:p>
    <w:p>
      <w:pPr>
        <w:spacing w:after="200" w:before="0"/>
      </w:pPr>
      <w:r>
        <w:rPr>
          <w:rFonts w:ascii="Arial" w:cs="Arial" w:eastAsia="Arial" w:hAnsi="Arial"/>
          <w:b w:val="false"/>
          <w:bCs w:val="false"/>
          <w:sz w:val="24"/>
          <w:szCs w:val="24"/>
        </w:rPr>
        <w:t xml:space="preserve">1. KPMG España. Perspectivas 2026. Encuesta a más de 1.200 directivos españoles sobre prioridades estratégicas y barreras a la transformación. Madrid: KPMG, 2026. Disponible en kpmg.com/es.</w:t>
      </w:r>
    </w:p>
    <w:p>
      <w:pPr>
        <w:spacing w:after="200" w:before="0"/>
      </w:pPr>
      <w:r>
        <w:rPr>
          <w:rFonts w:ascii="Arial" w:cs="Arial" w:eastAsia="Arial" w:hAnsi="Arial"/>
          <w:b w:val="false"/>
          <w:bCs w:val="false"/>
          <w:sz w:val="24"/>
          <w:szCs w:val="24"/>
        </w:rPr>
        <w:t xml:space="preserve">2. EY España. Perspectivas del mercado laboral directivo en España 2026. Mayo-julio 2026. Disponible en ey.com/es_ES.</w:t>
      </w:r>
    </w:p>
    <w:p>
      <w:pPr>
        <w:spacing w:after="200" w:before="0"/>
      </w:pPr>
      <w:r>
        <w:rPr>
          <w:rFonts w:ascii="Arial" w:cs="Arial" w:eastAsia="Arial" w:hAnsi="Arial"/>
          <w:b w:val="false"/>
          <w:bCs w:val="false"/>
          <w:sz w:val="24"/>
          <w:szCs w:val="24"/>
        </w:rPr>
        <w:t xml:space="preserve">3. PwC España. Informe de situación financiera empresarial. Julio 2026. Disponible en pwc.es.</w:t>
      </w:r>
    </w:p>
    <w:p>
      <w:pPr>
        <w:spacing w:after="200" w:before="0"/>
      </w:pPr>
      <w:r>
        <w:rPr>
          <w:rFonts w:ascii="Arial" w:cs="Arial" w:eastAsia="Arial" w:hAnsi="Arial"/>
          <w:b w:val="false"/>
          <w:bCs w:val="false"/>
          <w:sz w:val="24"/>
          <w:szCs w:val="24"/>
        </w:rPr>
        <w:t xml:space="preserve">4. Adequancy / Valtus. Barómetro europeo de interim management — Edición 2026. Adequancy.com. Disponible en adequancy.com/barometre-edition-2026/.</w:t>
      </w:r>
    </w:p>
    <w:p>
      <w:pPr>
        <w:pStyle w:val="Heading2"/>
        <w:spacing w:after="160" w:before="320"/>
      </w:pPr>
      <w:r>
        <w:rPr>
          <w:rFonts w:ascii="Arial" w:cs="Arial" w:eastAsia="Arial" w:hAnsi="Arial"/>
          <w:b/>
          <w:bCs/>
          <w:color w:val="2E75B6"/>
          <w:sz w:val="28"/>
          <w:szCs w:val="28"/>
        </w:rPr>
        <w:t xml:space="preserve">Notas de revisión final</w:t>
      </w:r>
    </w:p>
    <w:p>
      <w:pPr>
        <w:spacing w:after="200" w:before="0"/>
      </w:pPr>
      <w:r>
        <w:rPr>
          <w:rFonts w:ascii="Arial" w:cs="Arial" w:eastAsia="Arial" w:hAnsi="Arial"/>
          <w:b w:val="false"/>
          <w:bCs w:val="false"/>
          <w:sz w:val="24"/>
          <w:szCs w:val="24"/>
        </w:rPr>
        <w:t xml:space="preserve">1. Verificar que los datos KPMG Perspectivas 2026 (1.200+ directivos, transformación como prioridad #1, barreras principales) están disponibles en la versión pública del informe antes de publicar.</w:t>
      </w:r>
    </w:p>
    <w:p>
      <w:pPr>
        <w:spacing w:after="200" w:before="0"/>
      </w:pPr>
      <w:r>
        <w:rPr>
          <w:rFonts w:ascii="Arial" w:cs="Arial" w:eastAsia="Arial" w:hAnsi="Arial"/>
          <w:b w:val="false"/>
          <w:bCs w:val="false"/>
          <w:sz w:val="24"/>
          <w:szCs w:val="24"/>
        </w:rPr>
        <w:t xml:space="preserve">2. Confirmar el dato PwC España julio 2026 (70% de empresas con posición financiera sólida) con referencia exacta al informe.</w:t>
      </w:r>
    </w:p>
    <w:p>
      <w:pPr>
        <w:spacing w:after="200" w:before="0"/>
      </w:pPr>
      <w:r>
        <w:rPr>
          <w:rFonts w:ascii="Arial" w:cs="Arial" w:eastAsia="Arial" w:hAnsi="Arial"/>
          <w:b w:val="false"/>
          <w:bCs w:val="false"/>
          <w:sz w:val="24"/>
          <w:szCs w:val="24"/>
        </w:rPr>
        <w:t xml:space="preserve">3. Confirmar que el barómetro Adequancy 2026 está publicado y que los datos (24% misiones de transformación, 8,3 meses duración media) corresponden al período referenciado.</w:t>
      </w:r>
    </w:p>
    <w:p>
      <w:pPr>
        <w:spacing w:after="200" w:before="0"/>
      </w:pPr>
      <w:r>
        <w:rPr>
          <w:rFonts w:ascii="Arial" w:cs="Arial" w:eastAsia="Arial" w:hAnsi="Arial"/>
          <w:b w:val="false"/>
          <w:bCs w:val="false"/>
          <w:sz w:val="24"/>
          <w:szCs w:val="24"/>
        </w:rPr>
        <w:t xml:space="preserve">4. Revisar con el equipo web la existencia de páginas de perfil para CDO interino, COO interino y artículo sobre interim management en empresas familiares para activar el enlazado interno sugerido.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2026-07-13T06:31:00.636Z</dcterms:created>
  <dcterms:modified xsi:type="dcterms:W3CDTF">2026-07-13T06:31:00.637Z</dcterms:modified>
</cp:coreProperties>
</file>

<file path=docProps/custom.xml><?xml version="1.0" encoding="utf-8"?>
<Properties xmlns="http://schemas.openxmlformats.org/officeDocument/2006/custom-properties" xmlns:vt="http://schemas.openxmlformats.org/officeDocument/2006/docPropsVTypes"/>
</file>