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CCCCCC" w:sz="1"/>
              <w:left w:val="single" w:color="CCCCCC" w:sz="1"/>
              <w:bottom w:val="single" w:color="CCCCCC" w:sz="1"/>
              <w:right w:val="single" w:color="CCCCCC" w:sz="1"/>
            </w:tcBorders>
          </w:tcPr>
          <w:p>
            <w:pPr>
              <w:spacing w:after="80" w:before="80"/>
            </w:pPr>
            <w:r>
              <w:rPr>
                <w:rFonts w:ascii="Arial" w:cs="Arial" w:eastAsia="Arial" w:hAnsi="Arial"/>
                <w:b/>
                <w:bCs/>
                <w:sz w:val="19"/>
                <w:szCs w:val="19"/>
              </w:rPr>
              <w:t xml:space="preserve">Título SEO</w:t>
            </w:r>
          </w:p>
        </w:tc>
        <w:tc>
          <w:tcPr>
            <w:tcW w:type="pct" w:w="78%"/>
            <w:tcBorders>
              <w:top w:val="single" w:color="CCCCCC" w:sz="1"/>
              <w:left w:val="single" w:color="CCCCCC" w:sz="1"/>
              <w:bottom w:val="single" w:color="CCCCCC" w:sz="1"/>
              <w:right w:val="single" w:color="CCCCCC" w:sz="1"/>
            </w:tcBorders>
          </w:tcPr>
          <w:p>
            <w:pPr>
              <w:spacing w:after="80" w:before="80"/>
            </w:pPr>
            <w:r>
              <w:rPr>
                <w:rFonts w:ascii="Arial" w:cs="Arial" w:eastAsia="Arial" w:hAnsi="Arial"/>
                <w:sz w:val="19"/>
                <w:szCs w:val="19"/>
              </w:rPr>
              <w:t xml:space="preserve">Directivo Interino en M&amp;A: Clave en los Primeros 90 Días</w:t>
            </w:r>
          </w:p>
        </w:tc>
      </w:tr>
      <w:tr>
        <w:tc>
          <w:tcPr>
            <w:tcW w:type="pct" w:w="22%"/>
            <w:tcBorders>
              <w:top w:val="single" w:color="CCCCCC" w:sz="1"/>
              <w:left w:val="single" w:color="CCCCCC" w:sz="1"/>
              <w:bottom w:val="single" w:color="CCCCCC" w:sz="1"/>
              <w:right w:val="single" w:color="CCCCCC" w:sz="1"/>
            </w:tcBorders>
          </w:tcPr>
          <w:p>
            <w:pPr>
              <w:spacing w:after="80" w:before="80"/>
            </w:pPr>
            <w:r>
              <w:rPr>
                <w:rFonts w:ascii="Arial" w:cs="Arial" w:eastAsia="Arial" w:hAnsi="Arial"/>
                <w:b/>
                <w:bCs/>
                <w:sz w:val="19"/>
                <w:szCs w:val="19"/>
              </w:rPr>
              <w:t xml:space="preserve">Meta descripción</w:t>
            </w:r>
          </w:p>
        </w:tc>
        <w:tc>
          <w:tcPr>
            <w:tcW w:type="pct" w:w="78%"/>
            <w:tcBorders>
              <w:top w:val="single" w:color="CCCCCC" w:sz="1"/>
              <w:left w:val="single" w:color="CCCCCC" w:sz="1"/>
              <w:bottom w:val="single" w:color="CCCCCC" w:sz="1"/>
              <w:right w:val="single" w:color="CCCCCC" w:sz="1"/>
            </w:tcBorders>
          </w:tcPr>
          <w:p>
            <w:pPr>
              <w:spacing w:after="80" w:before="80"/>
            </w:pPr>
            <w:r>
              <w:rPr>
                <w:rFonts w:ascii="Arial" w:cs="Arial" w:eastAsia="Arial" w:hAnsi="Arial"/>
                <w:sz w:val="19"/>
                <w:szCs w:val="19"/>
              </w:rPr>
              <w:t xml:space="preserve">Por qué las integraciones post-fusión exitosas dependen del directivo interino elegido antes del cierre. Guía para fondos de PE y directores de M&amp;A en España.</w:t>
            </w:r>
          </w:p>
        </w:tc>
      </w:tr>
      <w:tr>
        <w:tc>
          <w:tcPr>
            <w:tcW w:type="pct" w:w="22%"/>
            <w:tcBorders>
              <w:top w:val="single" w:color="CCCCCC" w:sz="1"/>
              <w:left w:val="single" w:color="CCCCCC" w:sz="1"/>
              <w:bottom w:val="single" w:color="CCCCCC" w:sz="1"/>
              <w:right w:val="single" w:color="CCCCCC" w:sz="1"/>
            </w:tcBorders>
          </w:tcPr>
          <w:p>
            <w:pPr>
              <w:spacing w:after="80" w:before="80"/>
            </w:pPr>
            <w:r>
              <w:rPr>
                <w:rFonts w:ascii="Arial" w:cs="Arial" w:eastAsia="Arial" w:hAnsi="Arial"/>
                <w:b/>
                <w:bCs/>
                <w:sz w:val="19"/>
                <w:szCs w:val="19"/>
              </w:rPr>
              <w:t xml:space="preserve">URL slug</w:t>
            </w:r>
          </w:p>
        </w:tc>
        <w:tc>
          <w:tcPr>
            <w:tcW w:type="pct" w:w="78%"/>
            <w:tcBorders>
              <w:top w:val="single" w:color="CCCCCC" w:sz="1"/>
              <w:left w:val="single" w:color="CCCCCC" w:sz="1"/>
              <w:bottom w:val="single" w:color="CCCCCC" w:sz="1"/>
              <w:right w:val="single" w:color="CCCCCC" w:sz="1"/>
            </w:tcBorders>
          </w:tcPr>
          <w:p>
            <w:pPr>
              <w:spacing w:after="80" w:before="80"/>
            </w:pPr>
            <w:r>
              <w:rPr>
                <w:rFonts w:ascii="Arial" w:cs="Arial" w:eastAsia="Arial" w:hAnsi="Arial"/>
                <w:sz w:val="19"/>
                <w:szCs w:val="19"/>
              </w:rPr>
              <w:t xml:space="preserve">/blog/directivo-interino-post-merger-integration-fusiones-adquisiciones</w:t>
            </w:r>
          </w:p>
        </w:tc>
      </w:tr>
    </w:tbl>
    <w:p>
      <w:pPr>
        <w:spacing w:after="360"/>
      </w:pPr>
    </w:p>
    <w:p>
      <w:pPr>
        <w:pStyle w:val="Heading1"/>
        <w:spacing w:after="320" w:before="0"/>
      </w:pPr>
      <w:r>
        <w:rPr>
          <w:rFonts w:ascii="Arial" w:cs="Arial" w:eastAsia="Arial" w:hAnsi="Arial"/>
          <w:b/>
          <w:bCs/>
          <w:color w:val="1F3864"/>
          <w:sz w:val="40"/>
          <w:szCs w:val="40"/>
        </w:rPr>
        <w:t xml:space="preserve">Por qué el éxito de una integración post-fusión depende del directivo interino elegido en los primeros 90 días</w:t>
      </w:r>
    </w:p>
    <w:p>
      <w:pPr>
        <w:spacing w:after="200"/>
      </w:pPr>
      <w:r>
        <w:rPr>
          <w:rFonts w:ascii="Calibri" w:cs="Calibri" w:eastAsia="Calibri" w:hAnsi="Calibri"/>
          <w:sz w:val="22"/>
          <w:szCs w:val="22"/>
        </w:rPr>
        <w:t xml:space="preserve">La adquisición de Urbaser por Blackstone y EQT —valorada en </w:t>
      </w:r>
      <w:r>
        <w:rPr>
          <w:rFonts w:ascii="Calibri" w:cs="Calibri" w:eastAsia="Calibri" w:hAnsi="Calibri"/>
          <w:b/>
          <w:bCs/>
          <w:sz w:val="22"/>
          <w:szCs w:val="22"/>
        </w:rPr>
        <w:t xml:space="preserve">6.600 millones de dólares</w:t>
      </w:r>
      <w:r>
        <w:rPr>
          <w:rFonts w:ascii="Calibri" w:cs="Calibri" w:eastAsia="Calibri" w:hAnsi="Calibri"/>
          <w:sz w:val="22"/>
          <w:szCs w:val="22"/>
        </w:rPr>
        <w:t xml:space="preserve">— es una de las operaciones de M&amp;A más relevantes registradas en España en lo que va de 2026. Su escala y el perfil de los fondos que la protagonizan hacen de ella algo más que una noticia sectorial: es una señal clara de que el deal flow ha vuelto con fuerza al mercado español. Y con él regresa la pregunta que determina el retorno real de cada adquisición: después del cierre, ¿quién lidera la integración?</w:t>
      </w:r>
    </w:p>
    <w:p>
      <w:pPr>
        <w:spacing w:after="280"/>
      </w:pPr>
      <w:r>
        <w:rPr>
          <w:rFonts w:ascii="Calibri" w:cs="Calibri" w:eastAsia="Calibri" w:hAnsi="Calibri"/>
          <w:sz w:val="22"/>
          <w:szCs w:val="22"/>
        </w:rPr>
        <w:t xml:space="preserve">La respuesta raramente está lista el día de la firma. El equipo directivo del target enfrenta la incertidumbre post-cierre mientras el fondo exige velocidad de ejecución y las sinergias proyectadas en el due diligence esperan convertirse en resultados concretos. El </w:t>
      </w:r>
      <w:r>
        <w:rPr>
          <w:rFonts w:ascii="Calibri" w:cs="Calibri" w:eastAsia="Calibri" w:hAnsi="Calibri"/>
          <w:b/>
          <w:bCs/>
          <w:sz w:val="22"/>
          <w:szCs w:val="22"/>
        </w:rPr>
        <w:t xml:space="preserve">directivo interino en fusiones y adquisiciones</w:t>
      </w:r>
      <w:r>
        <w:rPr>
          <w:rFonts w:ascii="Calibri" w:cs="Calibri" w:eastAsia="Calibri" w:hAnsi="Calibri"/>
          <w:sz w:val="22"/>
          <w:szCs w:val="22"/>
        </w:rPr>
        <w:t xml:space="preserve"> es la figura que permite cubrir ese gap con la rapidez y la autoridad ejecutiva que la situación exige. Los </w:t>
      </w:r>
      <w:r>
        <w:rPr>
          <w:rFonts w:ascii="Calibri" w:cs="Calibri" w:eastAsia="Calibri" w:hAnsi="Calibri"/>
          <w:b/>
          <w:bCs/>
          <w:sz w:val="22"/>
          <w:szCs w:val="22"/>
        </w:rPr>
        <w:t xml:space="preserve">primeros 90 días</w:t>
      </w:r>
      <w:r>
        <w:rPr>
          <w:rFonts w:ascii="Calibri" w:cs="Calibri" w:eastAsia="Calibri" w:hAnsi="Calibri"/>
          <w:sz w:val="22"/>
          <w:szCs w:val="22"/>
        </w:rPr>
        <w:t xml:space="preserve"> son el período más crítico de cualquier proceso de integración post-fusión, y la decisión sobre quién lidera ese período determina, en gran medida, el retorno final de la operación.</w:t>
      </w:r>
    </w:p>
    <w:p>
      <w:pPr>
        <w:pStyle w:val="Heading2"/>
        <w:spacing w:after="200" w:before="400"/>
      </w:pPr>
      <w:r>
        <w:rPr>
          <w:rFonts w:ascii="Arial" w:cs="Arial" w:eastAsia="Arial" w:hAnsi="Arial"/>
          <w:b/>
          <w:bCs/>
          <w:color w:val="2E75B6"/>
          <w:sz w:val="28"/>
          <w:szCs w:val="28"/>
        </w:rPr>
        <w:t xml:space="preserve">El regreso del M&amp;A en Europa y España: lo que los datos de 2026 revelan</w:t>
      </w:r>
    </w:p>
    <w:p>
      <w:pPr>
        <w:spacing w:after="200"/>
      </w:pPr>
      <w:r>
        <w:rPr>
          <w:rFonts w:ascii="Calibri" w:cs="Calibri" w:eastAsia="Calibri" w:hAnsi="Calibri"/>
          <w:b/>
          <w:bCs/>
          <w:sz w:val="22"/>
          <w:szCs w:val="22"/>
        </w:rPr>
        <w:t xml:space="preserve">Más del 75% de los profesionales de private equity europeo</w:t>
      </w:r>
      <w:r>
        <w:rPr>
          <w:rFonts w:ascii="Calibri" w:cs="Calibri" w:eastAsia="Calibri" w:hAnsi="Calibri"/>
          <w:sz w:val="22"/>
          <w:szCs w:val="22"/>
        </w:rPr>
        <w:t xml:space="preserve"> anticipa un incremento de operaciones M&amp;A en 2026 respecto al año anterior. El mercado anglosajón —que actúa como indicador adelantado del mercado español con 12 a 18 meses de antelación— ya registra señales precisas: la demanda de perfiles especializados en post-merger integration creció un </w:t>
      </w:r>
      <w:r>
        <w:rPr>
          <w:rFonts w:ascii="Calibri" w:cs="Calibri" w:eastAsia="Calibri" w:hAnsi="Calibri"/>
          <w:b/>
          <w:bCs/>
          <w:sz w:val="22"/>
          <w:szCs w:val="22"/>
        </w:rPr>
        <w:t xml:space="preserve">37% interanual</w:t>
      </w:r>
      <w:r>
        <w:rPr>
          <w:rFonts w:ascii="Calibri" w:cs="Calibri" w:eastAsia="Calibri" w:hAnsi="Calibri"/>
          <w:sz w:val="22"/>
          <w:szCs w:val="22"/>
        </w:rPr>
        <w:t xml:space="preserve"> en el Reino Unido durante el primer semestre de 2026.</w:t>
      </w:r>
    </w:p>
    <w:p>
      <w:pPr>
        <w:spacing w:after="280"/>
      </w:pPr>
      <w:r>
        <w:rPr>
          <w:rFonts w:ascii="Calibri" w:cs="Calibri" w:eastAsia="Calibri" w:hAnsi="Calibri"/>
          <w:sz w:val="22"/>
          <w:szCs w:val="22"/>
        </w:rPr>
        <w:t xml:space="preserve">España no es ajena a esta tendencia. La operación Urbaser es su expresión más visible, pero el patrón se repite en transacciones de menor tamaño que no alcanzan las portadas de la prensa económica. El retorno del deal flow trae consigo una realidad que fondos y directores de M&amp;A conocen bien: cerrar una transacción es complejo, pero integrarla con éxito lo es aún más. La valoración de una adquisición se defiende —o se destruye— en los meses posteriores al cierre, no durante la negociación. La pregunta que los fondos más sofisticados ya se formulan antes de firmar es: ¿quién liderará la integración desde el primer día?</w:t>
      </w:r>
    </w:p>
    <w:p>
      <w:pPr>
        <w:pStyle w:val="Heading2"/>
        <w:spacing w:after="200" w:before="400"/>
      </w:pPr>
      <w:r>
        <w:rPr>
          <w:rFonts w:ascii="Arial" w:cs="Arial" w:eastAsia="Arial" w:hAnsi="Arial"/>
          <w:b/>
          <w:bCs/>
          <w:color w:val="2E75B6"/>
          <w:sz w:val="28"/>
          <w:szCs w:val="28"/>
        </w:rPr>
        <w:t xml:space="preserve">El período más peligroso de una adquisición: los primeros 90 días</w:t>
      </w:r>
    </w:p>
    <w:p>
      <w:pPr>
        <w:pStyle w:val="Heading3"/>
        <w:spacing w:after="140" w:before="280"/>
      </w:pPr>
      <w:r>
        <w:rPr>
          <w:rFonts w:ascii="Arial" w:cs="Arial" w:eastAsia="Arial" w:hAnsi="Arial"/>
          <w:b/>
          <w:bCs/>
          <w:color w:val="2F5496"/>
          <w:sz w:val="24"/>
          <w:szCs w:val="24"/>
        </w:rPr>
        <w:t xml:space="preserve">La trampa del liderazgo provisional</w:t>
      </w:r>
    </w:p>
    <w:p>
      <w:pPr>
        <w:spacing w:after="200"/>
      </w:pPr>
      <w:r>
        <w:rPr>
          <w:rFonts w:ascii="Calibri" w:cs="Calibri" w:eastAsia="Calibri" w:hAnsi="Calibri"/>
          <w:sz w:val="22"/>
          <w:szCs w:val="22"/>
        </w:rPr>
        <w:t xml:space="preserve">El error más frecuente en una integración post-fusión no es técnico ni financiero: es organizativo. Los compradores asumen que el equipo directivo existente —del target, del comprador, o una combinación de ambos— puede gestionar la integración en paralelo con sus responsabilidades operativas habituales. El resultado estadístico es documentado: </w:t>
      </w:r>
      <w:r>
        <w:rPr>
          <w:rFonts w:ascii="Calibri" w:cs="Calibri" w:eastAsia="Calibri" w:hAnsi="Calibri"/>
          <w:b/>
          <w:bCs/>
          <w:sz w:val="22"/>
          <w:szCs w:val="22"/>
        </w:rPr>
        <w:t xml:space="preserve">más del 50% de las integraciones post-fusión no alcanzan las sinergias proyectadas</w:t>
      </w:r>
      <w:r>
        <w:rPr>
          <w:rFonts w:ascii="Calibri" w:cs="Calibri" w:eastAsia="Calibri" w:hAnsi="Calibri"/>
          <w:sz w:val="22"/>
          <w:szCs w:val="22"/>
        </w:rPr>
        <w:t xml:space="preserve"> en el due diligence. La causa más citada no es la diferencia de sistemas ni la complejidad regulatoria: es la indefinición del liderazgo directivo durante los primeros 90 días. Un equipo dividido entre operar el negocio e integrar dos organizaciones rara vez logra ninguna de las dos con el rigor que cada una exige.</w:t>
      </w:r>
    </w:p>
    <w:p>
      <w:pPr>
        <w:pStyle w:val="Heading3"/>
        <w:spacing w:after="140" w:before="280"/>
      </w:pPr>
      <w:r>
        <w:rPr>
          <w:rFonts w:ascii="Arial" w:cs="Arial" w:eastAsia="Arial" w:hAnsi="Arial"/>
          <w:b/>
          <w:bCs/>
          <w:color w:val="2F5496"/>
          <w:sz w:val="24"/>
          <w:szCs w:val="24"/>
        </w:rPr>
        <w:t xml:space="preserve">Lo que ocurre en una organización sin liderazgo claro</w:t>
      </w:r>
    </w:p>
    <w:p>
      <w:pPr>
        <w:spacing w:after="280"/>
      </w:pPr>
      <w:r>
        <w:rPr>
          <w:rFonts w:ascii="Calibri" w:cs="Calibri" w:eastAsia="Calibri" w:hAnsi="Calibri"/>
          <w:sz w:val="22"/>
          <w:szCs w:val="22"/>
        </w:rPr>
        <w:t xml:space="preserve">En ausencia de liderazgo directivo con autoridad ejecutiva real, los efectos se acumulan con rapidez. El talento clave —los directivos y técnicos cuya retención el fondo valoró explícitamente en el due diligence— empieza a explorar alternativas ante la incertidumbre. La cultura de las dos organizaciones, en lugar de integrarse, genera fricción y alineaciones informales que bloquean la toma de decisiones. La cartera de clientes se deteriora cuando los interlocutores habituales desaparecen o cambian sin comunicación estructurada. Y la caja se erosiona por la ausencia de gobernanza financiera unificada: dos sistemas contables, dos tesorerías, dos lógicas de aprobación de gasto que no se consolidan con la velocidad que el plan de negocio del fondo requiere. Evitar ese escenario es posible desde el primer día, con el perfil directivo adecuado incorporado antes de que los efectos sean irreversibles.</w:t>
      </w:r>
    </w:p>
    <w:p>
      <w:pPr>
        <w:pStyle w:val="Heading2"/>
        <w:spacing w:after="200" w:before="400"/>
      </w:pPr>
      <w:r>
        <w:rPr>
          <w:rFonts w:ascii="Arial" w:cs="Arial" w:eastAsia="Arial" w:hAnsi="Arial"/>
          <w:b/>
          <w:bCs/>
          <w:color w:val="2E75B6"/>
          <w:sz w:val="28"/>
          <w:szCs w:val="28"/>
        </w:rPr>
        <w:t xml:space="preserve">El directivo interino como respuesta estructural en post-merger integration</w:t>
      </w:r>
    </w:p>
    <w:p>
      <w:pPr>
        <w:spacing w:after="200"/>
      </w:pPr>
      <w:r>
        <w:rPr>
          <w:rFonts w:ascii="Calibri" w:cs="Calibri" w:eastAsia="Calibri" w:hAnsi="Calibri"/>
          <w:sz w:val="22"/>
          <w:szCs w:val="22"/>
        </w:rPr>
        <w:t xml:space="preserve">En el ámbito del </w:t>
      </w:r>
      <w:r>
        <w:rPr>
          <w:rFonts w:ascii="Calibri" w:cs="Calibri" w:eastAsia="Calibri" w:hAnsi="Calibri"/>
          <w:b/>
          <w:bCs/>
          <w:sz w:val="22"/>
          <w:szCs w:val="22"/>
        </w:rPr>
        <w:t xml:space="preserve">interim management</w:t>
      </w:r>
      <w:r>
        <w:rPr>
          <w:rFonts w:ascii="Calibri" w:cs="Calibri" w:eastAsia="Calibri" w:hAnsi="Calibri"/>
          <w:sz w:val="22"/>
          <w:szCs w:val="22"/>
        </w:rPr>
        <w:t xml:space="preserve"> para post-merger integration, la distinción fundamental separa asesorar de ejecutar. Un </w:t>
      </w:r>
      <w:r>
        <w:rPr>
          <w:rFonts w:ascii="Calibri" w:cs="Calibri" w:eastAsia="Calibri" w:hAnsi="Calibri"/>
          <w:b/>
          <w:bCs/>
          <w:sz w:val="22"/>
          <w:szCs w:val="22"/>
        </w:rPr>
        <w:t xml:space="preserve">interim manager</w:t>
      </w:r>
      <w:r>
        <w:rPr>
          <w:rFonts w:ascii="Calibri" w:cs="Calibri" w:eastAsia="Calibri" w:hAnsi="Calibri"/>
          <w:sz w:val="22"/>
          <w:szCs w:val="22"/>
        </w:rPr>
        <w:t xml:space="preserve"> en PMI no llega a entregar informes desde el exterior: ocupa el cargo, forma parte del comité de dirección y es responsable de los resultados durante la misión. Esa diferencia —autoridad de línea real frente a posición consultiva— determina el éxito o el fracaso de una integración.</w:t>
      </w:r>
    </w:p>
    <w:p>
      <w:pPr>
        <w:pStyle w:val="Heading3"/>
        <w:spacing w:after="140" w:before="280"/>
      </w:pPr>
      <w:r>
        <w:rPr>
          <w:rFonts w:ascii="Arial" w:cs="Arial" w:eastAsia="Arial" w:hAnsi="Arial"/>
          <w:b/>
          <w:bCs/>
          <w:color w:val="2F5496"/>
          <w:sz w:val="24"/>
          <w:szCs w:val="24"/>
        </w:rPr>
        <w:t xml:space="preserve">CFO interino — gobernanza financiera desde el primer día</w:t>
      </w:r>
    </w:p>
    <w:p>
      <w:pPr>
        <w:spacing w:after="200"/>
      </w:pPr>
      <w:r>
        <w:rPr>
          <w:rFonts w:ascii="Calibri" w:cs="Calibri" w:eastAsia="Calibri" w:hAnsi="Calibri"/>
          <w:sz w:val="22"/>
          <w:szCs w:val="22"/>
        </w:rPr>
        <w:t xml:space="preserve">El </w:t>
      </w:r>
      <w:r>
        <w:rPr>
          <w:rFonts w:ascii="Calibri" w:cs="Calibri" w:eastAsia="Calibri" w:hAnsi="Calibri"/>
          <w:b/>
          <w:bCs/>
          <w:sz w:val="22"/>
          <w:szCs w:val="22"/>
        </w:rPr>
        <w:t xml:space="preserve">CFO interino</w:t>
      </w:r>
      <w:r>
        <w:rPr>
          <w:rFonts w:ascii="Calibri" w:cs="Calibri" w:eastAsia="Calibri" w:hAnsi="Calibri"/>
          <w:sz w:val="22"/>
          <w:szCs w:val="22"/>
        </w:rPr>
        <w:t xml:space="preserve"> es el perfil más demandado en operaciones de M&amp;A. Sus prioridades durante los primeros 90 días son concretas: unificación del reporting financiero de las dos organizaciones, control de caja y tesorería integrada, validación de las sinergias financieras proyectadas en el due diligence, y gestión de la relación con las entidades financieras y el equipo del fondo. El perfil requerido es preciso: experiencia en entornos de private equity, capacidad de comunicación simultánea con el board del fondo y con el equipo directivo local, y velocidad de diagnóstico. La práctica en los mercados europeos más avanzados incluye casos documentados de un CFO interino que completó un proceso PMI íntegro en </w:t>
      </w:r>
      <w:r>
        <w:rPr>
          <w:rFonts w:ascii="Calibri" w:cs="Calibri" w:eastAsia="Calibri" w:hAnsi="Calibri"/>
          <w:b/>
          <w:bCs/>
          <w:sz w:val="22"/>
          <w:szCs w:val="22"/>
        </w:rPr>
        <w:t xml:space="preserve">90 días</w:t>
      </w:r>
      <w:r>
        <w:rPr>
          <w:rFonts w:ascii="Calibri" w:cs="Calibri" w:eastAsia="Calibri" w:hAnsi="Calibri"/>
          <w:sz w:val="22"/>
          <w:szCs w:val="22"/>
        </w:rPr>
        <w:t xml:space="preserve">, con un mandato de entre 9 y 12 meses.</w:t>
      </w:r>
    </w:p>
    <w:p>
      <w:pPr>
        <w:pStyle w:val="Heading3"/>
        <w:spacing w:after="140" w:before="280"/>
      </w:pPr>
      <w:r>
        <w:rPr>
          <w:rFonts w:ascii="Arial" w:cs="Arial" w:eastAsia="Arial" w:hAnsi="Arial"/>
          <w:b/>
          <w:bCs/>
          <w:color w:val="2F5496"/>
          <w:sz w:val="24"/>
          <w:szCs w:val="24"/>
        </w:rPr>
        <w:t xml:space="preserve">COO interino — consolidación operativa sin fricción política</w:t>
      </w:r>
    </w:p>
    <w:p>
      <w:pPr>
        <w:spacing w:after="200"/>
      </w:pPr>
      <w:r>
        <w:rPr>
          <w:rFonts w:ascii="Calibri" w:cs="Calibri" w:eastAsia="Calibri" w:hAnsi="Calibri"/>
          <w:sz w:val="22"/>
          <w:szCs w:val="22"/>
        </w:rPr>
        <w:t xml:space="preserve">El </w:t>
      </w:r>
      <w:r>
        <w:rPr>
          <w:rFonts w:ascii="Calibri" w:cs="Calibri" w:eastAsia="Calibri" w:hAnsi="Calibri"/>
          <w:b/>
          <w:bCs/>
          <w:sz w:val="22"/>
          <w:szCs w:val="22"/>
        </w:rPr>
        <w:t xml:space="preserve">COO interino</w:t>
      </w:r>
      <w:r>
        <w:rPr>
          <w:rFonts w:ascii="Calibri" w:cs="Calibri" w:eastAsia="Calibri" w:hAnsi="Calibri"/>
          <w:sz w:val="22"/>
          <w:szCs w:val="22"/>
        </w:rPr>
        <w:t xml:space="preserve"> aborda la dimensión más visible de la integración: la consolidación de operaciones duplicadas. Integración de cadenas de suministro, racionalización de proveedores, unificación de procesos productivos y reducción de costes operativos sin comprometer la continuidad del negocio. Su ventaja estructural es precisa: un ejecutivo externo no arrastra historia política en ninguna de las dos organizaciones. Puede tomar decisiones difíciles —sobre personas, sobre proveedores, sobre centros de operación— con una autoridad y una neutralidad que ningún directivo interno puede ejercer con la misma credibilidad ante ambas partes. En integraciones con alta fricción cultural, esa neutralidad no es un detalle: es una condición necesaria para avanzar.</w:t>
      </w:r>
    </w:p>
    <w:p>
      <w:pPr>
        <w:pStyle w:val="Heading3"/>
        <w:spacing w:after="140" w:before="280"/>
      </w:pPr>
      <w:r>
        <w:rPr>
          <w:rFonts w:ascii="Arial" w:cs="Arial" w:eastAsia="Arial" w:hAnsi="Arial"/>
          <w:b/>
          <w:bCs/>
          <w:color w:val="2F5496"/>
          <w:sz w:val="24"/>
          <w:szCs w:val="24"/>
        </w:rPr>
        <w:t xml:space="preserve">CHRO interino — integración cultural con mandato ejecutivo</w:t>
      </w:r>
    </w:p>
    <w:p>
      <w:pPr>
        <w:spacing w:after="280"/>
      </w:pPr>
      <w:r>
        <w:rPr>
          <w:rFonts w:ascii="Calibri" w:cs="Calibri" w:eastAsia="Calibri" w:hAnsi="Calibri"/>
          <w:sz w:val="22"/>
          <w:szCs w:val="22"/>
        </w:rPr>
        <w:t xml:space="preserve">La dimensión más subestimada de una PMI es la integración de culturas organizacionales. Cuando dos organizaciones se unen, los sistemas se migran y los procesos se estandarizan, pero las culturas no se funden por decreto. El </w:t>
      </w:r>
      <w:r>
        <w:rPr>
          <w:rFonts w:ascii="Calibri" w:cs="Calibri" w:eastAsia="Calibri" w:hAnsi="Calibri"/>
          <w:b/>
          <w:bCs/>
          <w:sz w:val="22"/>
          <w:szCs w:val="22"/>
        </w:rPr>
        <w:t xml:space="preserve">CHRO interino</w:t>
      </w:r>
      <w:r>
        <w:rPr>
          <w:rFonts w:ascii="Calibri" w:cs="Calibri" w:eastAsia="Calibri" w:hAnsi="Calibri"/>
          <w:sz w:val="22"/>
          <w:szCs w:val="22"/>
        </w:rPr>
        <w:t xml:space="preserve"> aporta estructura a ese proceso: evalúa el talento en ambas organizaciones, diseña el nuevo organigrama integrado, gestiona la comunicación interna durante el período de mayor incertidumbre y protege el talento clave durante los primeros meses críticos. Un </w:t>
      </w:r>
      <w:r>
        <w:rPr>
          <w:rFonts w:ascii="Calibri" w:cs="Calibri" w:eastAsia="Calibri" w:hAnsi="Calibri"/>
          <w:b/>
          <w:bCs/>
          <w:sz w:val="22"/>
          <w:szCs w:val="22"/>
        </w:rPr>
        <w:t xml:space="preserve">interim manager</w:t>
      </w:r>
      <w:r>
        <w:rPr>
          <w:rFonts w:ascii="Calibri" w:cs="Calibri" w:eastAsia="Calibri" w:hAnsi="Calibri"/>
          <w:sz w:val="22"/>
          <w:szCs w:val="22"/>
        </w:rPr>
        <w:t xml:space="preserve"> especializado en esta función está disponible en </w:t>
      </w:r>
      <w:r>
        <w:rPr>
          <w:rFonts w:ascii="Calibri" w:cs="Calibri" w:eastAsia="Calibri" w:hAnsi="Calibri"/>
          <w:b/>
          <w:bCs/>
          <w:sz w:val="22"/>
          <w:szCs w:val="22"/>
        </w:rPr>
        <w:t xml:space="preserve">menos de 10 días</w:t>
      </w:r>
      <w:r>
        <w:rPr>
          <w:rFonts w:ascii="Calibri" w:cs="Calibri" w:eastAsia="Calibri" w:hAnsi="Calibri"/>
          <w:sz w:val="22"/>
          <w:szCs w:val="22"/>
        </w:rPr>
        <w:t xml:space="preserve"> desde la confirmación del mandato, frente a los 90 a 120 días que requiere un proceso de selección ejecutiva permanente en España. La diferencia no es solo de velocidad: es de capacidad de respuesta en el momento más delicado de la integración.</w:t>
      </w:r>
    </w:p>
    <w:p>
      <w:pPr>
        <w:pStyle w:val="Heading2"/>
        <w:spacing w:after="200" w:before="400"/>
      </w:pPr>
      <w:r>
        <w:rPr>
          <w:rFonts w:ascii="Arial" w:cs="Arial" w:eastAsia="Arial" w:hAnsi="Arial"/>
          <w:b/>
          <w:bCs/>
          <w:color w:val="2E75B6"/>
          <w:sz w:val="28"/>
          <w:szCs w:val="28"/>
        </w:rPr>
        <w:t xml:space="preserve">Lo que los fondos de PE europeos más avanzados ya hacen: integrar al directivo interino antes del cierre</w:t>
      </w:r>
    </w:p>
    <w:p>
      <w:pPr>
        <w:spacing w:after="200"/>
      </w:pPr>
      <w:r>
        <w:rPr>
          <w:rFonts w:ascii="Calibri" w:cs="Calibri" w:eastAsia="Calibri" w:hAnsi="Calibri"/>
          <w:sz w:val="22"/>
          <w:szCs w:val="22"/>
        </w:rPr>
        <w:t xml:space="preserve">Los fondos que lideran este modelo no esperan al día del cierre para definir el equipo directivo de la PMI. Lo planifican durante el due diligence. Cuando se firma la operación, el </w:t>
      </w:r>
      <w:r>
        <w:rPr>
          <w:rFonts w:ascii="Calibri" w:cs="Calibri" w:eastAsia="Calibri" w:hAnsi="Calibri"/>
          <w:b/>
          <w:bCs/>
          <w:sz w:val="22"/>
          <w:szCs w:val="22"/>
        </w:rPr>
        <w:t xml:space="preserve">interim manager</w:t>
      </w:r>
      <w:r>
        <w:rPr>
          <w:rFonts w:ascii="Calibri" w:cs="Calibri" w:eastAsia="Calibri" w:hAnsi="Calibri"/>
          <w:sz w:val="22"/>
          <w:szCs w:val="22"/>
        </w:rPr>
        <w:t xml:space="preserve"> ya está briefeado, conoce el contexto del target y puede incorporarse en 48 a 72 horas. Este enfoque —denominado “day-one readiness” en el sector anglosajón— está documentado en el mercado alemán, el más maduro de Europa continental en </w:t>
      </w:r>
      <w:r>
        <w:rPr>
          <w:rFonts w:ascii="Calibri" w:cs="Calibri" w:eastAsia="Calibri" w:hAnsi="Calibri"/>
          <w:b/>
          <w:bCs/>
          <w:sz w:val="22"/>
          <w:szCs w:val="22"/>
        </w:rPr>
        <w:t xml:space="preserve">interim management</w:t>
      </w:r>
      <w:r>
        <w:rPr>
          <w:rFonts w:ascii="Calibri" w:cs="Calibri" w:eastAsia="Calibri" w:hAnsi="Calibri"/>
          <w:sz w:val="22"/>
          <w:szCs w:val="22"/>
        </w:rPr>
        <w:t xml:space="preserve">, con un volumen estimado de </w:t>
      </w:r>
      <w:r>
        <w:rPr>
          <w:rFonts w:ascii="Calibri" w:cs="Calibri" w:eastAsia="Calibri" w:hAnsi="Calibri"/>
          <w:b/>
          <w:bCs/>
          <w:sz w:val="22"/>
          <w:szCs w:val="22"/>
        </w:rPr>
        <w:t xml:space="preserve">2.700 millones de euros</w:t>
      </w:r>
      <w:r>
        <w:rPr>
          <w:rFonts w:ascii="Calibri" w:cs="Calibri" w:eastAsia="Calibri" w:hAnsi="Calibri"/>
          <w:sz w:val="22"/>
          <w:szCs w:val="22"/>
        </w:rPr>
        <w:t xml:space="preserve"> y una tarifa media de </w:t>
      </w:r>
      <w:r>
        <w:rPr>
          <w:rFonts w:ascii="Calibri" w:cs="Calibri" w:eastAsia="Calibri" w:hAnsi="Calibri"/>
          <w:b/>
          <w:bCs/>
          <w:sz w:val="22"/>
          <w:szCs w:val="22"/>
        </w:rPr>
        <w:t xml:space="preserve">1.317 euros por día</w:t>
      </w:r>
      <w:r>
        <w:rPr>
          <w:rFonts w:ascii="Calibri" w:cs="Calibri" w:eastAsia="Calibri" w:hAnsi="Calibri"/>
          <w:sz w:val="22"/>
          <w:szCs w:val="22"/>
        </w:rPr>
        <w:t xml:space="preserve">. En ese mercado, la planificación anticipada del liderazgo directivo para la PMI es práctica estándar en operaciones de tamaño mediano y grande.</w:t>
      </w:r>
    </w:p>
    <w:p>
      <w:pPr>
        <w:spacing w:after="200"/>
      </w:pPr>
      <w:r>
        <w:rPr>
          <w:rFonts w:ascii="Calibri" w:cs="Calibri" w:eastAsia="Calibri" w:hAnsi="Calibri"/>
          <w:sz w:val="22"/>
          <w:szCs w:val="22"/>
        </w:rPr>
        <w:t xml:space="preserve">En España, los fondos de PE con estructuras de governance comparables a sus homólogos anglosajones están comenzando a adoptar este modelo. Los que aún no lo hacen asumen un riesgo perfectamente evitable: cada semana de indefinición directiva en los primeros 90 días tiene un coste organizativo que raramente se recupera en los meses posteriores.</w:t>
      </w:r>
    </w:p>
    <w:p>
      <w:pPr>
        <w:spacing w:after="80"/>
      </w:pPr>
      <w:r>
        <w:rPr>
          <w:rFonts w:ascii="Calibri" w:cs="Calibri" w:eastAsia="Calibri" w:hAnsi="Calibri"/>
          <w:sz w:val="22"/>
          <w:szCs w:val="22"/>
        </w:rPr>
        <w:t xml:space="preserve">Manager in Motion trabaja en esta modalidad, acompañando al fondo desde la fase de due diligence para tener el perfil directivo listo el día del cierre.</w:t>
      </w:r>
    </w:p>
    <w:p>
      <w:pPr>
        <w:spacing w:after="280" w:before="120"/>
      </w:pPr>
      <w:r>
        <w:rPr>
          <w:rFonts w:ascii="Calibri" w:cs="Calibri" w:eastAsia="Calibri" w:hAnsi="Calibri"/>
          <w:i/>
          <w:iCs/>
          <w:sz w:val="22"/>
          <w:szCs w:val="22"/>
        </w:rPr>
        <w:t xml:space="preserve">¿Está en fase de due diligence? Cuéntenos la operación. Podemos tener un perfil directivo listo para el día del cierre.</w:t>
      </w:r>
    </w:p>
    <w:p>
      <w:pPr>
        <w:pStyle w:val="Heading2"/>
        <w:spacing w:after="200" w:before="400"/>
      </w:pPr>
      <w:r>
        <w:rPr>
          <w:rFonts w:ascii="Arial" w:cs="Arial" w:eastAsia="Arial" w:hAnsi="Arial"/>
          <w:b/>
          <w:bCs/>
          <w:color w:val="2E75B6"/>
          <w:sz w:val="28"/>
          <w:szCs w:val="28"/>
        </w:rPr>
        <w:t xml:space="preserve">Cómo seleccionar al directivo interino adecuado para una integración post-fusión</w:t>
      </w:r>
    </w:p>
    <w:p>
      <w:pPr>
        <w:pStyle w:val="Heading3"/>
        <w:spacing w:after="140" w:before="280"/>
      </w:pPr>
      <w:r>
        <w:rPr>
          <w:rFonts w:ascii="Arial" w:cs="Arial" w:eastAsia="Arial" w:hAnsi="Arial"/>
          <w:b/>
          <w:bCs/>
          <w:color w:val="2F5496"/>
          <w:sz w:val="24"/>
          <w:szCs w:val="24"/>
        </w:rPr>
        <w:t xml:space="preserve">Los cuatro criterios que marcan la diferencia</w:t>
      </w:r>
    </w:p>
    <w:p>
      <w:pPr>
        <w:spacing w:after="200"/>
      </w:pPr>
      <w:r>
        <w:rPr>
          <w:rFonts w:ascii="Calibri" w:cs="Calibri" w:eastAsia="Calibri" w:hAnsi="Calibri"/>
          <w:sz w:val="22"/>
          <w:szCs w:val="22"/>
        </w:rPr>
        <w:t xml:space="preserve">Seleccionar el perfil equivocado en una PMI tiene un coste mayor que no seleccionar ninguno. Cuatro criterios distinguen a un </w:t>
      </w:r>
      <w:r>
        <w:rPr>
          <w:rFonts w:ascii="Calibri" w:cs="Calibri" w:eastAsia="Calibri" w:hAnsi="Calibri"/>
          <w:b/>
          <w:bCs/>
          <w:sz w:val="22"/>
          <w:szCs w:val="22"/>
        </w:rPr>
        <w:t xml:space="preserve">interim manager</w:t>
      </w:r>
      <w:r>
        <w:rPr>
          <w:rFonts w:ascii="Calibri" w:cs="Calibri" w:eastAsia="Calibri" w:hAnsi="Calibri"/>
          <w:sz w:val="22"/>
          <w:szCs w:val="22"/>
        </w:rPr>
        <w:t xml:space="preserve"> con capacidad real de ejecución en post-merger integration:</w:t>
      </w:r>
    </w:p>
    <w:p>
      <w:pPr>
        <w:spacing w:after="180"/>
        <w:ind w:left="400"/>
      </w:pPr>
      <w:r>
        <w:rPr>
          <w:rFonts w:ascii="Calibri" w:cs="Calibri" w:eastAsia="Calibri" w:hAnsi="Calibri"/>
          <w:sz w:val="22"/>
          <w:szCs w:val="22"/>
        </w:rPr>
        <w:t xml:space="preserve">1. </w:t>
      </w:r>
      <w:r>
        <w:rPr>
          <w:rFonts w:ascii="Calibri" w:cs="Calibri" w:eastAsia="Calibri" w:hAnsi="Calibri"/>
          <w:b/>
          <w:bCs/>
          <w:sz w:val="22"/>
          <w:szCs w:val="22"/>
        </w:rPr>
        <w:t xml:space="preserve">Experiencia PMI documentada</w:t>
      </w:r>
      <w:r>
        <w:rPr>
          <w:rFonts w:ascii="Calibri" w:cs="Calibri" w:eastAsia="Calibri" w:hAnsi="Calibri"/>
          <w:sz w:val="22"/>
          <w:szCs w:val="22"/>
        </w:rPr>
        <w:t xml:space="preserve"> en operaciones de tamaño y sector comparables. No basta la experiencia directiva genérica: la gestión de una integración requiere competencias que solo se desarrollan habiendo ejecutado ese proceso en condiciones reales.</w:t>
      </w:r>
    </w:p>
    <w:p>
      <w:pPr>
        <w:spacing w:after="180"/>
        <w:ind w:left="400"/>
      </w:pPr>
      <w:r>
        <w:rPr>
          <w:rFonts w:ascii="Calibri" w:cs="Calibri" w:eastAsia="Calibri" w:hAnsi="Calibri"/>
          <w:sz w:val="22"/>
          <w:szCs w:val="22"/>
        </w:rPr>
        <w:t xml:space="preserve">2. </w:t>
      </w:r>
      <w:r>
        <w:rPr>
          <w:rFonts w:ascii="Calibri" w:cs="Calibri" w:eastAsia="Calibri" w:hAnsi="Calibri"/>
          <w:b/>
          <w:bCs/>
          <w:sz w:val="22"/>
          <w:szCs w:val="22"/>
        </w:rPr>
        <w:t xml:space="preserve">Capacidad de trabajar con dos interlocutores simultáneamente</w:t>
      </w:r>
      <w:r>
        <w:rPr>
          <w:rFonts w:ascii="Calibri" w:cs="Calibri" w:eastAsia="Calibri" w:hAnsi="Calibri"/>
          <w:sz w:val="22"/>
          <w:szCs w:val="22"/>
        </w:rPr>
        <w:t xml:space="preserve">: el board del fondo y el equipo directivo local. El perfil que solo gestiona hacia abajo —o solo hacia arriba— genera fricción donde la alineación entre ambas instancias es crítica.</w:t>
      </w:r>
    </w:p>
    <w:p>
      <w:pPr>
        <w:spacing w:after="180"/>
        <w:ind w:left="400"/>
      </w:pPr>
      <w:r>
        <w:rPr>
          <w:rFonts w:ascii="Calibri" w:cs="Calibri" w:eastAsia="Calibri" w:hAnsi="Calibri"/>
          <w:sz w:val="22"/>
          <w:szCs w:val="22"/>
        </w:rPr>
        <w:t xml:space="preserve">3. </w:t>
      </w:r>
      <w:r>
        <w:rPr>
          <w:rFonts w:ascii="Calibri" w:cs="Calibri" w:eastAsia="Calibri" w:hAnsi="Calibri"/>
          <w:b/>
          <w:bCs/>
          <w:sz w:val="22"/>
          <w:szCs w:val="22"/>
        </w:rPr>
        <w:t xml:space="preserve">Velocidad de diagnóstico</w:t>
      </w:r>
      <w:r>
        <w:rPr>
          <w:rFonts w:ascii="Calibri" w:cs="Calibri" w:eastAsia="Calibri" w:hAnsi="Calibri"/>
          <w:sz w:val="22"/>
          <w:szCs w:val="22"/>
        </w:rPr>
        <w:t xml:space="preserve">: el primer mes es de escucha activa y mapeo de problemas. El directivo interino debe entregar un diagnóstico estructurado y accionable en la semana cinco o seis de la misión. Sin ese mapa, el resto de la integración opera sobre hipótesis no validadas.</w:t>
      </w:r>
    </w:p>
    <w:p>
      <w:pPr>
        <w:spacing w:after="240"/>
        <w:ind w:left="400"/>
      </w:pPr>
      <w:r>
        <w:rPr>
          <w:rFonts w:ascii="Calibri" w:cs="Calibri" w:eastAsia="Calibri" w:hAnsi="Calibri"/>
          <w:sz w:val="22"/>
          <w:szCs w:val="22"/>
        </w:rPr>
        <w:t xml:space="preserve">4. </w:t>
      </w:r>
      <w:r>
        <w:rPr>
          <w:rFonts w:ascii="Calibri" w:cs="Calibri" w:eastAsia="Calibri" w:hAnsi="Calibri"/>
          <w:b/>
          <w:bCs/>
          <w:sz w:val="22"/>
          <w:szCs w:val="22"/>
        </w:rPr>
        <w:t xml:space="preserve">Autonomía ejecutiva real</w:t>
      </w:r>
      <w:r>
        <w:rPr>
          <w:rFonts w:ascii="Calibri" w:cs="Calibri" w:eastAsia="Calibri" w:hAnsi="Calibri"/>
          <w:sz w:val="22"/>
          <w:szCs w:val="22"/>
        </w:rPr>
        <w:t xml:space="preserve">: el interim manager debe poder decidir, no solo recomendar. Sin autoridad de línea efectiva, la figura se convierte en un consultor con título ejecutivo, y el resultado no difiere.</w:t>
      </w:r>
    </w:p>
    <w:p>
      <w:pPr>
        <w:pStyle w:val="Heading3"/>
        <w:spacing w:after="140" w:before="280"/>
      </w:pPr>
      <w:r>
        <w:rPr>
          <w:rFonts w:ascii="Arial" w:cs="Arial" w:eastAsia="Arial" w:hAnsi="Arial"/>
          <w:b/>
          <w:bCs/>
          <w:color w:val="2F5496"/>
          <w:sz w:val="24"/>
          <w:szCs w:val="24"/>
        </w:rPr>
        <w:t xml:space="preserve">Las señales de alerta en el proceso de selección</w:t>
      </w:r>
    </w:p>
    <w:p>
      <w:pPr>
        <w:spacing w:after="200"/>
      </w:pPr>
      <w:r>
        <w:rPr>
          <w:rFonts w:ascii="Calibri" w:cs="Calibri" w:eastAsia="Calibri" w:hAnsi="Calibri"/>
          <w:sz w:val="22"/>
          <w:szCs w:val="22"/>
        </w:rPr>
        <w:t xml:space="preserve">Candidatos sin experiencia previa en entornos de PE o M&amp;A, perfiles que confunden la consultoría de estrategia con la ejecución directiva, o proveedores generalistas que ofrecen velocidad de presentación pero no profundidad de perfil: son señales de alerta que conviene detectar antes de la incorporación, no después.</w:t>
      </w:r>
    </w:p>
    <w:p>
      <w:pPr>
        <w:spacing w:after="280"/>
      </w:pPr>
      <w:r>
        <w:rPr>
          <w:rFonts w:ascii="Calibri" w:cs="Calibri" w:eastAsia="Calibri" w:hAnsi="Calibri"/>
          <w:sz w:val="22"/>
          <w:szCs w:val="22"/>
        </w:rPr>
        <w:t xml:space="preserve">La primera conversación con el proveedor ya es reveladora: si no pregunta por el sector de la adquisición, el tamaño de la operación, el perfil del equipo directivo existente y los objetivos de sinergia del plan de negocio, no dispone de la especialización que una PMI de envergadura requiere. La precisión de las preguntas del proveedor anticipa directamente la precisión con la que identificará el perfil adecuado.</w:t>
      </w:r>
    </w:p>
    <w:p>
      <w:pPr>
        <w:spacing w:after="200"/>
      </w:pPr>
      <w:r>
        <w:rPr>
          <w:rFonts w:ascii="Calibri" w:cs="Calibri" w:eastAsia="Calibri" w:hAnsi="Calibri"/>
          <w:sz w:val="22"/>
          <w:szCs w:val="22"/>
        </w:rPr>
        <w:t xml:space="preserve">Las integraciones post-fusión no se ganan en el due diligence. Se ganan en la ejecución de los </w:t>
      </w:r>
      <w:r>
        <w:rPr>
          <w:rFonts w:ascii="Calibri" w:cs="Calibri" w:eastAsia="Calibri" w:hAnsi="Calibri"/>
          <w:b/>
          <w:bCs/>
          <w:sz w:val="22"/>
          <w:szCs w:val="22"/>
        </w:rPr>
        <w:t xml:space="preserve">primeros 90 días</w:t>
      </w:r>
      <w:r>
        <w:rPr>
          <w:rFonts w:ascii="Calibri" w:cs="Calibri" w:eastAsia="Calibri" w:hAnsi="Calibri"/>
          <w:sz w:val="22"/>
          <w:szCs w:val="22"/>
        </w:rPr>
        <w:t xml:space="preserve">, con el liderazgo directivo correcto en cada función crítica. La elección del </w:t>
      </w:r>
      <w:r>
        <w:rPr>
          <w:rFonts w:ascii="Calibri" w:cs="Calibri" w:eastAsia="Calibri" w:hAnsi="Calibri"/>
          <w:b/>
          <w:bCs/>
          <w:sz w:val="22"/>
          <w:szCs w:val="22"/>
        </w:rPr>
        <w:t xml:space="preserve">interim manager</w:t>
      </w:r>
      <w:r>
        <w:rPr>
          <w:rFonts w:ascii="Calibri" w:cs="Calibri" w:eastAsia="Calibri" w:hAnsi="Calibri"/>
          <w:sz w:val="22"/>
          <w:szCs w:val="22"/>
        </w:rPr>
        <w:t xml:space="preserve"> adecuado —con experiencia documentada en PMI, velocidad de incorporación y autoridad ejecutiva plena— es la decisión que más influye en el retorno final de la adquisición.</w:t>
      </w:r>
    </w:p>
    <w:p>
      <w:pPr>
        <w:spacing w:after="360"/>
      </w:pPr>
      <w:r>
        <w:rPr>
          <w:rFonts w:ascii="Calibri" w:cs="Calibri" w:eastAsia="Calibri" w:hAnsi="Calibri"/>
          <w:sz w:val="22"/>
          <w:szCs w:val="22"/>
        </w:rPr>
        <w:t xml:space="preserve">El </w:t>
      </w:r>
      <w:r>
        <w:rPr>
          <w:rFonts w:ascii="Calibri" w:cs="Calibri" w:eastAsia="Calibri" w:hAnsi="Calibri"/>
          <w:b/>
          <w:bCs/>
          <w:sz w:val="22"/>
          <w:szCs w:val="22"/>
        </w:rPr>
        <w:t xml:space="preserve">interim management</w:t>
      </w:r>
      <w:r>
        <w:rPr>
          <w:rFonts w:ascii="Calibri" w:cs="Calibri" w:eastAsia="Calibri" w:hAnsi="Calibri"/>
          <w:sz w:val="22"/>
          <w:szCs w:val="22"/>
        </w:rPr>
        <w:t xml:space="preserve"> como solución estructural para la fase post-cierre no es una tendencia emergente en los mercados europeos más maduros: es una práctica consolidada que el mercado español está adoptando con creciente rigor. Los perfiles directivos especializados en PMI son accesibles en días y pueden marcar la diferencia entre una integración que cumple su plan de negocio y una que lo erosiona. La primera conversación no tiene coste ni compromiso.</w:t>
      </w:r>
    </w:p>
    <w:p>
      <w:pPr>
        <w:spacing w:after="200" w:before="480"/>
      </w:pPr>
      <w:r>
        <w:rPr>
          <w:rFonts w:ascii="Arial" w:cs="Arial" w:eastAsia="Arial" w:hAnsi="Arial"/>
          <w:color w:val="CCCCCC"/>
          <w:sz w:val="18"/>
          <w:szCs w:val="18"/>
        </w:rPr>
        <w:t xml:space="preserve">――――――――――――――――――――――――――――――</w:t>
      </w:r>
    </w:p>
    <w:p>
      <w:pPr>
        <w:pStyle w:val="Heading2"/>
        <w:spacing w:after="200" w:before="400"/>
      </w:pPr>
      <w:r>
        <w:rPr>
          <w:rFonts w:ascii="Arial" w:cs="Arial" w:eastAsia="Arial" w:hAnsi="Arial"/>
          <w:b/>
          <w:bCs/>
          <w:color w:val="2E75B6"/>
          <w:sz w:val="28"/>
          <w:szCs w:val="28"/>
        </w:rPr>
        <w:t xml:space="preserve">Preguntas frecuentes sobre interim management en fusiones y adquisiciones</w:t>
      </w:r>
    </w:p>
    <w:p>
      <w:pPr>
        <w:pStyle w:val="Heading3"/>
        <w:spacing w:after="140" w:before="280"/>
      </w:pPr>
      <w:r>
        <w:rPr>
          <w:rFonts w:ascii="Arial" w:cs="Arial" w:eastAsia="Arial" w:hAnsi="Arial"/>
          <w:b/>
          <w:bCs/>
          <w:color w:val="2F5496"/>
          <w:sz w:val="24"/>
          <w:szCs w:val="24"/>
        </w:rPr>
        <w:t xml:space="preserve">¿En qué se diferencia un interim manager de PMI de un consultor de M&amp;A?</w:t>
      </w:r>
    </w:p>
    <w:p>
      <w:pPr>
        <w:spacing w:after="200"/>
      </w:pPr>
      <w:r>
        <w:rPr>
          <w:rFonts w:ascii="Calibri" w:cs="Calibri" w:eastAsia="Calibri" w:hAnsi="Calibri"/>
          <w:sz w:val="22"/>
          <w:szCs w:val="22"/>
        </w:rPr>
        <w:t xml:space="preserve">El consultor de M&amp;A aporta valor antes del cierre: due diligence, valoración, estructura del deal y asesoramiento en la negociación. El interim manager de PMI entra después del cierre con un mandato radicalmente distinto: lidera equipos reales, toma decisiones operativas con autoridad directiva plena y es responsable medible de los resultados de la integración durante la misión. Son roles complementarios, no intercambiables. El error frecuente es prolongar la participación del consultor de M&amp;A en la fase post-cierre, cuando lo que la organización necesita es un ejecutivo con autoridad de línea y experiencia en gestión del cambio organizacional a gran escala.</w:t>
      </w:r>
    </w:p>
    <w:p>
      <w:pPr>
        <w:pStyle w:val="Heading3"/>
        <w:spacing w:after="140" w:before="280"/>
      </w:pPr>
      <w:r>
        <w:rPr>
          <w:rFonts w:ascii="Arial" w:cs="Arial" w:eastAsia="Arial" w:hAnsi="Arial"/>
          <w:b/>
          <w:bCs/>
          <w:color w:val="2F5496"/>
          <w:sz w:val="24"/>
          <w:szCs w:val="24"/>
        </w:rPr>
        <w:t xml:space="preserve">¿Cuándo debería iniciarse la búsqueda del interim manager para una PMI?</w:t>
      </w:r>
    </w:p>
    <w:p>
      <w:pPr>
        <w:spacing w:after="200"/>
      </w:pPr>
      <w:r>
        <w:rPr>
          <w:rFonts w:ascii="Calibri" w:cs="Calibri" w:eastAsia="Calibri" w:hAnsi="Calibri"/>
          <w:sz w:val="22"/>
          <w:szCs w:val="22"/>
        </w:rPr>
        <w:t xml:space="preserve">Idealmente durante el proceso de due diligence, no después del cierre. Los fondos más sofisticados tienen al interim manager briefeado y listo para incorporarse el mismo día de la firma. Esperar al cierre para iniciar la búsqueda suele significar entre tres y seis semanas de retraso en un período donde cada semana tiene consecuencias organizativas concretas. El interim manager, disponible en menos de 10 días desde la confirmación del mandato, es la única figura que puede cubrir ese gap con velocidad real. En ningún otro modelo de liderazgo directivo la velocidad de incorporación es un activo de tal magnitud.</w:t>
      </w:r>
    </w:p>
    <w:p>
      <w:pPr>
        <w:pStyle w:val="Heading3"/>
        <w:spacing w:after="140" w:before="280"/>
      </w:pPr>
      <w:r>
        <w:rPr>
          <w:rFonts w:ascii="Arial" w:cs="Arial" w:eastAsia="Arial" w:hAnsi="Arial"/>
          <w:b/>
          <w:bCs/>
          <w:color w:val="2F5496"/>
          <w:sz w:val="24"/>
          <w:szCs w:val="24"/>
        </w:rPr>
        <w:t xml:space="preserve">¿Cuánto tiempo dura una misión de interim management en post-merger integration?</w:t>
      </w:r>
    </w:p>
    <w:p>
      <w:pPr>
        <w:spacing w:after="200"/>
      </w:pPr>
      <w:r>
        <w:rPr>
          <w:rFonts w:ascii="Calibri" w:cs="Calibri" w:eastAsia="Calibri" w:hAnsi="Calibri"/>
          <w:sz w:val="22"/>
          <w:szCs w:val="22"/>
        </w:rPr>
        <w:t xml:space="preserve">Entre 9 y 18 meses, según la complejidad de la integración, el tamaño de las organizaciones y los objetivos de sinergia del plan de negocio. La misión tiene un inicio, un objetivo medible y un final definido desde el arranque: esa es precisamente su ventaja sobre la contratación permanente en un contexto de alta incertidumbre organizacional. Al cierre de la misión, el interim manager puede acompañar el proceso de selección del ejecutivo permanente o entregar el cargo a un candidato interno que ha ganado madurez durante la integración.</w:t>
      </w:r>
    </w:p>
    <w:p>
      <w:pPr>
        <w:pStyle w:val="Heading3"/>
        <w:spacing w:after="140" w:before="280"/>
      </w:pPr>
      <w:r>
        <w:rPr>
          <w:rFonts w:ascii="Arial" w:cs="Arial" w:eastAsia="Arial" w:hAnsi="Arial"/>
          <w:b/>
          <w:bCs/>
          <w:color w:val="2F5496"/>
          <w:sz w:val="24"/>
          <w:szCs w:val="24"/>
        </w:rPr>
        <w:t xml:space="preserve">¿Puede un interim manager gestionar la integración de una empresa en un sector que no conoce en profundidad?</w:t>
      </w:r>
    </w:p>
    <w:p>
      <w:pPr>
        <w:spacing w:after="200"/>
      </w:pPr>
      <w:r>
        <w:rPr>
          <w:rFonts w:ascii="Calibri" w:cs="Calibri" w:eastAsia="Calibri" w:hAnsi="Calibri"/>
          <w:sz w:val="22"/>
          <w:szCs w:val="22"/>
        </w:rPr>
        <w:t xml:space="preserve">En la mayoría de los casos, sí. En una PMI, la experiencia en integración post-fusión y las competencias de gestión del cambio organizacional pesan más que el conocimiento sectorial específico. La curva de aprendizaje sectorial es breve para un directivo interino senior con experiencia en operaciones de escala comparable. La capacidad de gestionar ambigüedad organizacional, tomar decisiones bajo presión y trabajar con un board exigente son las competencias que no se improvisan y que más determinan el resultado de la integración. El conocimiento sectorial puede adquirirse; la experiencia en PMI no puede fabricarse.</w:t>
      </w:r>
    </w:p>
    <w:p>
      <w:pPr>
        <w:pStyle w:val="Heading3"/>
        <w:spacing w:after="140" w:before="280"/>
      </w:pPr>
      <w:r>
        <w:rPr>
          <w:rFonts w:ascii="Arial" w:cs="Arial" w:eastAsia="Arial" w:hAnsi="Arial"/>
          <w:b/>
          <w:bCs/>
          <w:color w:val="2F5496"/>
          <w:sz w:val="24"/>
          <w:szCs w:val="24"/>
        </w:rPr>
        <w:t xml:space="preserve">¿Qué perfiles son más demandados en operaciones de M&amp;A?</w:t>
      </w:r>
    </w:p>
    <w:p>
      <w:pPr>
        <w:spacing w:after="200"/>
      </w:pPr>
      <w:r>
        <w:rPr>
          <w:rFonts w:ascii="Calibri" w:cs="Calibri" w:eastAsia="Calibri" w:hAnsi="Calibri"/>
          <w:sz w:val="22"/>
          <w:szCs w:val="22"/>
        </w:rPr>
        <w:t xml:space="preserve">El CFO interino es el perfil más demandado en PMI: gobernanza financiera, reporting unificado, control de caja e interlocución con el fondo inversor. Le sigue el COO interino, que aborda la consolidación operativa, la racionalización de costes y la integración de la cadena de suministro. El CHRO interino completa el cuadro con la retención de talento clave, el diseño del nuevo organigrama y la gestión de la integración cultural. En operaciones complejas de gran escala, los tres perfiles pueden desplegarse de forma simultánea con coordinación activa entre ellos, con un director general interino ejerciendo como integrador global de la misión.</w:t>
      </w:r>
    </w:p>
    <w:p>
      <w:pPr>
        <w:pStyle w:val="Heading3"/>
        <w:spacing w:after="140" w:before="280"/>
      </w:pPr>
      <w:r>
        <w:rPr>
          <w:rFonts w:ascii="Arial" w:cs="Arial" w:eastAsia="Arial" w:hAnsi="Arial"/>
          <w:b/>
          <w:bCs/>
          <w:color w:val="2F5496"/>
          <w:sz w:val="24"/>
          <w:szCs w:val="24"/>
        </w:rPr>
        <w:t xml:space="preserve">¿Cuál es el coste de un interim manager en PMI comparado con un ejecutivo permanente?</w:t>
      </w:r>
    </w:p>
    <w:p>
      <w:pPr>
        <w:spacing w:after="320"/>
      </w:pPr>
      <w:r>
        <w:rPr>
          <w:rFonts w:ascii="Calibri" w:cs="Calibri" w:eastAsia="Calibri" w:hAnsi="Calibri"/>
          <w:sz w:val="22"/>
          <w:szCs w:val="22"/>
        </w:rPr>
        <w:t xml:space="preserve">El interim manager no genera costes de reclutamiento, no requiere período de preaviso ni indemnización por fin de mandato, y está operativo en menos de 10 días frente a los 90 a 120 días de un proceso de selección ejecutiva permanente. Para una misión de 12 meses, el coste total es habitualmente comparable —y frecuentemente inferior— al de un proceso de selección permanente más salario, cargas sociales y beneficios del primer año. La comparación correcta incluye también el coste de una contratación equivocada en un momento de alta presión organizacional, donde el margen de error es prácticamente nulo.</w:t>
      </w:r>
    </w:p>
    <w:p>
      <w:pPr>
        <w:spacing w:after="200" w:before="480"/>
      </w:pPr>
      <w:r>
        <w:rPr>
          <w:rFonts w:ascii="Arial" w:cs="Arial" w:eastAsia="Arial" w:hAnsi="Arial"/>
          <w:color w:val="CCCCCC"/>
          <w:sz w:val="18"/>
          <w:szCs w:val="18"/>
        </w:rPr>
        <w:t xml:space="preserve">――――――――――――――――――――――――――――――</w:t>
      </w:r>
    </w:p>
    <w:p>
      <w:pPr>
        <w:spacing w:after="160" w:before="200"/>
      </w:pPr>
      <w:r>
        <w:rPr>
          <w:rFonts w:ascii="Arial" w:cs="Arial" w:eastAsia="Arial" w:hAnsi="Arial"/>
          <w:b/>
          <w:bCs/>
          <w:color w:val="1F3864"/>
          <w:sz w:val="26"/>
          <w:szCs w:val="26"/>
        </w:rPr>
        <w:t xml:space="preserve">¿Tiene una operación de M&amp;A en curso o en preparación?</w:t>
      </w:r>
    </w:p>
    <w:p>
      <w:pPr>
        <w:spacing w:after="200"/>
      </w:pPr>
      <w:r>
        <w:rPr>
          <w:rFonts w:ascii="Calibri" w:cs="Calibri" w:eastAsia="Calibri" w:hAnsi="Calibri"/>
          <w:b/>
          <w:bCs/>
          <w:sz w:val="22"/>
          <w:szCs w:val="22"/>
        </w:rPr>
        <w:t xml:space="preserve">En Manager in Motion evaluamos su situación y le presentamos el perfil de directivo interino más adecuado para liderar su integración desde el primer día. El proceso es rápido, discreto y sin compromiso.</w:t>
      </w:r>
    </w:p>
    <w:p>
      <w:pPr>
        <w:spacing w:after="320"/>
      </w:pPr>
      <w:r>
        <w:rPr>
          <w:rFonts w:ascii="Calibri" w:cs="Calibri" w:eastAsia="Calibri" w:hAnsi="Calibri"/>
          <w:b/>
          <w:bCs/>
          <w:sz w:val="22"/>
          <w:szCs w:val="22"/>
        </w:rPr>
        <w:t xml:space="preserve">→ Hablar con un especialista</w:t>
      </w:r>
    </w:p>
    <w:p>
      <w:pPr>
        <w:spacing w:after="200" w:before="480"/>
      </w:pPr>
      <w:r>
        <w:rPr>
          <w:rFonts w:ascii="Arial" w:cs="Arial" w:eastAsia="Arial" w:hAnsi="Arial"/>
          <w:color w:val="CCCCCC"/>
          <w:sz w:val="18"/>
          <w:szCs w:val="18"/>
        </w:rPr>
        <w:t xml:space="preserve">――――――――――――――――――――――――――――――</w:t>
      </w:r>
    </w:p>
    <w:p>
      <w:pPr>
        <w:spacing w:after="200"/>
      </w:pPr>
      <w:r>
        <w:rPr>
          <w:rFonts w:ascii="Arial" w:cs="Arial" w:eastAsia="Arial" w:hAnsi="Arial"/>
          <w:b/>
          <w:bCs/>
          <w:i/>
          <w:iCs/>
          <w:color w:val="808080"/>
          <w:sz w:val="19"/>
          <w:szCs w:val="19"/>
        </w:rPr>
        <w:t xml:space="preserve">FUERA DEL ARTÍCULO — Solo para uso editorial</w:t>
      </w:r>
    </w:p>
    <w:p>
      <w:pPr>
        <w:pStyle w:val="Heading2"/>
        <w:spacing w:after="160" w:before="320"/>
      </w:pPr>
      <w:r>
        <w:rPr>
          <w:rFonts w:ascii="Arial" w:cs="Arial" w:eastAsia="Arial" w:hAnsi="Arial"/>
          <w:b/>
          <w:bCs/>
          <w:color w:val="595959"/>
          <w:sz w:val="26"/>
          <w:szCs w:val="26"/>
        </w:rPr>
        <w:t xml:space="preserve">Sugerencias de enlazado interno</w:t>
      </w:r>
    </w:p>
    <w:p>
      <w:pPr>
        <w:spacing w:after="120"/>
      </w:pPr>
      <w:r>
        <w:rPr>
          <w:rFonts w:ascii="Arial" w:cs="Arial" w:eastAsia="Arial" w:hAnsi="Arial"/>
          <w:color w:val="404040"/>
          <w:sz w:val="19"/>
          <w:szCs w:val="19"/>
        </w:rPr>
        <w:t xml:space="preserve">1. Sección "CFO interino" → Página de servicio CFO Interino en managerinmotion.eu. Texto de ancla: "CFO interino".</w:t>
      </w:r>
    </w:p>
    <w:p>
      <w:pPr>
        <w:spacing w:after="120"/>
      </w:pPr>
      <w:r>
        <w:rPr>
          <w:rFonts w:ascii="Arial" w:cs="Arial" w:eastAsia="Arial" w:hAnsi="Arial"/>
          <w:color w:val="404040"/>
          <w:sz w:val="19"/>
          <w:szCs w:val="19"/>
        </w:rPr>
        <w:t xml:space="preserve">2. Introducción (primera mención de interim management) → Página principal del servicio Interim Management. Texto de ancla: "interim management".</w:t>
      </w:r>
    </w:p>
    <w:p>
      <w:pPr>
        <w:spacing w:after="120"/>
      </w:pPr>
      <w:r>
        <w:rPr>
          <w:rFonts w:ascii="Arial" w:cs="Arial" w:eastAsia="Arial" w:hAnsi="Arial"/>
          <w:color w:val="404040"/>
          <w:sz w:val="19"/>
          <w:szCs w:val="19"/>
        </w:rPr>
        <w:t xml:space="preserve">3. Sección "CHRO interino" → Página de servicio CHRO Interino / Dirección de RRHH Interina. Texto de ancla: "CHRO interino".</w:t>
      </w:r>
    </w:p>
    <w:p>
      <w:pPr>
        <w:spacing w:after="320"/>
      </w:pPr>
      <w:r>
        <w:rPr>
          <w:rFonts w:ascii="Arial" w:cs="Arial" w:eastAsia="Arial" w:hAnsi="Arial"/>
          <w:color w:val="404040"/>
          <w:sz w:val="19"/>
          <w:szCs w:val="19"/>
        </w:rPr>
        <w:t xml:space="preserve">4. Párrafo de cierre → Artículo relacionado sobre reestructuración financiera con interim management (si existe). Si no existe, prioridad editorial para el ciclo siguiente.</w:t>
      </w:r>
    </w:p>
    <w:p>
      <w:pPr>
        <w:pStyle w:val="Heading2"/>
        <w:spacing w:after="160" w:before="320"/>
      </w:pPr>
      <w:r>
        <w:rPr>
          <w:rFonts w:ascii="Arial" w:cs="Arial" w:eastAsia="Arial" w:hAnsi="Arial"/>
          <w:b/>
          <w:bCs/>
          <w:color w:val="595959"/>
          <w:sz w:val="26"/>
          <w:szCs w:val="26"/>
        </w:rPr>
        <w:t xml:space="preserve">Fuentes consultadas</w:t>
      </w:r>
    </w:p>
    <w:p>
      <w:pPr>
        <w:spacing w:after="120"/>
      </w:pPr>
      <w:r>
        <w:rPr>
          <w:rFonts w:ascii="Arial" w:cs="Arial" w:eastAsia="Arial" w:hAnsi="Arial"/>
          <w:color w:val="404040"/>
          <w:sz w:val="19"/>
          <w:szCs w:val="19"/>
        </w:rPr>
        <w:t xml:space="preserve">1. Robert Walters. "EU Interim Management Report 2026." Edición europea 2026. (Dato utilizado: más del 75% de los profesionales de private equity europeo anticipa un incremento de operaciones M&amp;A en 2026.)</w:t>
      </w:r>
    </w:p>
    <w:p>
      <w:pPr>
        <w:spacing w:after="120"/>
      </w:pPr>
      <w:r>
        <w:rPr>
          <w:rFonts w:ascii="Arial" w:cs="Arial" w:eastAsia="Arial" w:hAnsi="Arial"/>
          <w:color w:val="404040"/>
          <w:sz w:val="19"/>
          <w:szCs w:val="19"/>
        </w:rPr>
        <w:t xml:space="preserve">2. Heidrick &amp; Struggles. "How Interim Talent Is Delivering Transformation for UK Businesses in 2026." Reino Unido, 2026. (Dato utilizado: demanda de perfiles PMI y transformación +37% interanual en el primer semestre de 2026 en el Reino Unido.)</w:t>
      </w:r>
    </w:p>
    <w:p>
      <w:pPr>
        <w:spacing w:after="120"/>
      </w:pPr>
      <w:r>
        <w:rPr>
          <w:rFonts w:ascii="Arial" w:cs="Arial" w:eastAsia="Arial" w:hAnsi="Arial"/>
          <w:color w:val="404040"/>
          <w:sz w:val="19"/>
          <w:szCs w:val="19"/>
        </w:rPr>
        <w:t xml:space="preserve">3. DDIM — Dachgesellschaft Deutsches Interim Management. "DDIM Marktstudie 2026." Asociación alemana de interim management, 2026. (Datos utilizados: mercado alemán valorado en 2.700 millones de euros; tarifa media 1.317 EUR/día; caso documentado de CFO interino con mandato PMI de 9-12 meses.)</w:t>
      </w:r>
    </w:p>
    <w:p>
      <w:pPr>
        <w:spacing w:after="120"/>
      </w:pPr>
      <w:r>
        <w:rPr>
          <w:rFonts w:ascii="Arial" w:cs="Arial" w:eastAsia="Arial" w:hAnsi="Arial"/>
          <w:color w:val="404040"/>
          <w:sz w:val="19"/>
          <w:szCs w:val="19"/>
        </w:rPr>
        <w:t xml:space="preserve">4. CE Interim / DDIM Marktstudie 2026. (Dato utilizado: caso de CFO interino que lideró proceso PMI completo en 90 días con mandato de 9-12 meses.)</w:t>
      </w:r>
    </w:p>
    <w:p>
      <w:pPr>
        <w:spacing w:after="320"/>
      </w:pPr>
      <w:r>
        <w:rPr>
          <w:rFonts w:ascii="Arial" w:cs="Arial" w:eastAsia="Arial" w:hAnsi="Arial"/>
          <w:color w:val="404040"/>
          <w:sz w:val="19"/>
          <w:szCs w:val="19"/>
        </w:rPr>
        <w:t xml:space="preserve">5. Operación de adquisición de Urbaser por Blackstone y EQT, 2026. Valor: 6.600 millones de dólares. Fuente: medios económicos especializados (Reuters, Expansión, Financial Times, julio 2026).</w:t>
      </w:r>
    </w:p>
    <w:p>
      <w:pPr>
        <w:pStyle w:val="Heading2"/>
        <w:spacing w:after="160" w:before="320"/>
      </w:pPr>
      <w:r>
        <w:rPr>
          <w:rFonts w:ascii="Arial" w:cs="Arial" w:eastAsia="Arial" w:hAnsi="Arial"/>
          <w:b/>
          <w:bCs/>
          <w:color w:val="595959"/>
          <w:sz w:val="26"/>
          <w:szCs w:val="26"/>
        </w:rPr>
        <w:t xml:space="preserve">Notas de revisión final</w:t>
      </w:r>
    </w:p>
    <w:p>
      <w:pPr>
        <w:spacing w:after="120"/>
      </w:pPr>
      <w:r>
        <w:rPr>
          <w:rFonts w:ascii="Arial" w:cs="Arial" w:eastAsia="Arial" w:hAnsi="Arial"/>
          <w:color w:val="404040"/>
          <w:sz w:val="19"/>
          <w:szCs w:val="19"/>
        </w:rPr>
        <w:t xml:space="preserve">1. Verificar disponibilidad pública de los informes Robert Walters EU Interim Management Report 2026 y Heidrick &amp; Struggles UK 2026 para implementar los enlaces externos con rel="noopener noreferrer".</w:t>
      </w:r>
    </w:p>
    <w:p>
      <w:pPr>
        <w:spacing w:after="120"/>
      </w:pPr>
      <w:r>
        <w:rPr>
          <w:rFonts w:ascii="Arial" w:cs="Arial" w:eastAsia="Arial" w:hAnsi="Arial"/>
          <w:color w:val="404040"/>
          <w:sz w:val="19"/>
          <w:szCs w:val="19"/>
        </w:rPr>
        <w:t xml:space="preserve">2. Confirmar accesibilidad de la DDIM Marktstudie 2026 en ddim.de para el enlace externo correspondiente.</w:t>
      </w:r>
    </w:p>
    <w:p>
      <w:pPr>
        <w:spacing w:after="120"/>
      </w:pPr>
      <w:r>
        <w:rPr>
          <w:rFonts w:ascii="Arial" w:cs="Arial" w:eastAsia="Arial" w:hAnsi="Arial"/>
          <w:color w:val="404040"/>
          <w:sz w:val="19"/>
          <w:szCs w:val="19"/>
        </w:rPr>
        <w:t xml:space="preserve">3. Verificar existencia y URLs actuales de las páginas internas de managerinmotion.eu referenciadas en las sugerencias de enlazado.</w:t>
      </w:r>
    </w:p>
    <w:p>
      <w:pPr>
        <w:spacing w:after="120"/>
      </w:pPr>
      <w:r>
        <w:rPr>
          <w:rFonts w:ascii="Arial" w:cs="Arial" w:eastAsia="Arial" w:hAnsi="Arial"/>
          <w:color w:val="404040"/>
          <w:sz w:val="19"/>
          <w:szCs w:val="19"/>
        </w:rPr>
        <w:t xml:space="preserve">4. Implementar schema markup JSON-LD FAQPage para las 6 preguntas de la sección FAQ antes de publicar.</w:t>
      </w:r>
    </w:p>
    <w:p>
      <w:pPr>
        <w:spacing w:after="120"/>
      </w:pPr>
      <w:r>
        <w:rPr>
          <w:rFonts w:ascii="Arial" w:cs="Arial" w:eastAsia="Arial" w:hAnsi="Arial"/>
          <w:color w:val="404040"/>
          <w:sz w:val="19"/>
          <w:szCs w:val="19"/>
        </w:rPr>
        <w:t xml:space="preserve">5. Implementar schema markup JSON-LD BlogPosting: headline (H1), author (Manager in Motion), datePublished (2026-07-06), inLanguage (es-ES).</w:t>
      </w:r>
    </w:p>
    <w:p>
      <w:pPr>
        <w:spacing w:after="120"/>
      </w:pPr>
      <w:r>
        <w:rPr>
          <w:rFonts w:ascii="Arial" w:cs="Arial" w:eastAsia="Arial" w:hAnsi="Arial"/>
          <w:color w:val="404040"/>
          <w:sz w:val="19"/>
          <w:szCs w:val="19"/>
        </w:rPr>
        <w:t xml:space="preserve">6. El CTA secundario inline (cursiva, al final del H2 sobre fondos de PE) debe enlazarse a la página de contacto de managerinmotion.eu.</w:t>
      </w:r>
    </w:p>
    <w:p>
      <w:pPr>
        <w:spacing w:after="120"/>
      </w:pPr>
      <w:r>
        <w:rPr>
          <w:rFonts w:ascii="Arial" w:cs="Arial" w:eastAsia="Arial" w:hAnsi="Arial"/>
          <w:color w:val="404040"/>
          <w:sz w:val="19"/>
          <w:szCs w:val="19"/>
        </w:rPr>
        <w:t xml:space="preserve">7. El dato de disponibilidad "menos de 10 días" aparece en el cuerpo y en FAQ. Validar con el equipo comercial antes de publicar.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360"/>
      <w:outlineLvl w:val="0"/>
    </w:pPr>
    <w:rPr>
      <w:rFonts w:ascii="Arial" w:cs="Arial" w:eastAsia="Arial" w:hAnsi="Arial"/>
      <w:b/>
      <w:bCs/>
      <w:color w:val="1F3864"/>
      <w:sz w:val="40"/>
      <w:szCs w:val="40"/>
    </w:rPr>
  </w:style>
  <w:style w:type="paragraph" w:styleId="Heading2">
    <w:name w:val="Heading 2"/>
    <w:basedOn w:val="Normal"/>
    <w:next w:val="Normal"/>
    <w:qFormat/>
    <w:pPr>
      <w:spacing w:after="200" w:before="400"/>
      <w:outlineLvl w:val="1"/>
    </w:pPr>
    <w:rPr>
      <w:rFonts w:ascii="Arial" w:cs="Arial" w:eastAsia="Arial" w:hAnsi="Arial"/>
      <w:b/>
      <w:bCs/>
      <w:color w:val="2E75B6"/>
      <w:sz w:val="28"/>
      <w:szCs w:val="28"/>
    </w:rPr>
  </w:style>
  <w:style w:type="paragraph" w:styleId="Heading3">
    <w:name w:val="Heading 3"/>
    <w:basedOn w:val="Normal"/>
    <w:next w:val="Normal"/>
    <w:qFormat/>
    <w:pPr>
      <w:spacing w:after="140" w:before="28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2026-07-06T06:45:27.215Z</dcterms:created>
  <dcterms:modified xsi:type="dcterms:W3CDTF">2026-07-06T06:45:27.216Z</dcterms:modified>
</cp:coreProperties>
</file>

<file path=docProps/custom.xml><?xml version="1.0" encoding="utf-8"?>
<Properties xmlns="http://schemas.openxmlformats.org/officeDocument/2006/custom-properties" xmlns:vt="http://schemas.openxmlformats.org/officeDocument/2006/docPropsVTypes"/>
</file>