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A201F" w14:textId="77777777" w:rsidR="001E7B45" w:rsidRDefault="000109F5" w:rsidP="00311AB2">
      <w:pPr>
        <w:pStyle w:val="Title"/>
        <w:spacing w:line="360" w:lineRule="auto"/>
      </w:pPr>
      <w:r>
        <w:t>Surviving Debt, Survival Debt in Times of Lockdown</w:t>
      </w:r>
      <w:r>
        <w:rPr>
          <w:rStyle w:val="FootnoteReference"/>
        </w:rPr>
        <w:footnoteReference w:id="1"/>
      </w:r>
    </w:p>
    <w:p w14:paraId="317F0F84" w14:textId="77777777" w:rsidR="001E7B45" w:rsidRDefault="000109F5" w:rsidP="00311AB2">
      <w:pPr>
        <w:pStyle w:val="Author"/>
        <w:spacing w:line="360" w:lineRule="auto"/>
      </w:pPr>
      <w:r>
        <w:t>Isabelle Guérin</w:t>
      </w:r>
      <w:r>
        <w:rPr>
          <w:rStyle w:val="FootnoteReference"/>
        </w:rPr>
        <w:footnoteReference w:id="2"/>
      </w:r>
      <w:r>
        <w:t>,  Sébastien Michiels</w:t>
      </w:r>
      <w:r>
        <w:rPr>
          <w:rStyle w:val="FootnoteReference"/>
        </w:rPr>
        <w:footnoteReference w:id="3"/>
      </w:r>
      <w:r>
        <w:t>,  Arnaud Natal</w:t>
      </w:r>
      <w:r>
        <w:rPr>
          <w:rStyle w:val="FootnoteReference"/>
        </w:rPr>
        <w:footnoteReference w:id="4"/>
      </w:r>
      <w:r>
        <w:t>,  Christophe J. Nordman</w:t>
      </w:r>
      <w:r>
        <w:rPr>
          <w:rStyle w:val="FootnoteReference"/>
        </w:rPr>
        <w:footnoteReference w:id="5"/>
      </w:r>
      <w:r>
        <w:t xml:space="preserve">  and Govindan Venkatasubramanian</w:t>
      </w:r>
      <w:r>
        <w:rPr>
          <w:rStyle w:val="FootnoteReference"/>
        </w:rPr>
        <w:footnoteReference w:id="6"/>
      </w:r>
    </w:p>
    <w:p w14:paraId="29CA2108" w14:textId="35909467" w:rsidR="001E7B45" w:rsidRDefault="00E043A5" w:rsidP="00311AB2">
      <w:pPr>
        <w:spacing w:line="360" w:lineRule="auto"/>
      </w:pPr>
      <w:r>
        <w:pict w14:anchorId="1FCF46FB">
          <v:rect id="_x0000_i1025" style="width:0;height:1.5pt" o:hralign="center" o:hrstd="t" o:hr="t"/>
        </w:pict>
      </w:r>
    </w:p>
    <w:p w14:paraId="4A61FD02" w14:textId="77777777" w:rsidR="001E7B45" w:rsidRDefault="000109F5" w:rsidP="00311AB2">
      <w:pPr>
        <w:pStyle w:val="BodyText"/>
        <w:spacing w:line="360" w:lineRule="auto"/>
      </w:pPr>
      <w:r>
        <w:rPr>
          <w:b/>
          <w:bCs/>
        </w:rPr>
        <w:t>Abstract </w:t>
      </w:r>
      <w:r>
        <w:br/>
        <w:t xml:space="preserve"> This article focuses on the consequences of the Indian lockdown in terms of debt. It is based on an ongoing study in a rural area of Tamil Nadu, South India. It draws on a long-term knowledge of this region, longitudinal quantitative household survey data on employment, debt and assets (2010-2016/17) as well as qualitative surveys conducted by telephone since the beginning of the lockdown in March 2020. Our results show: (i) the drying up of part of farm income and the bulk of off-farm income; (ii) the limited role of cash saving and cash transfers; (iii) the debt burden, since the population has faced massive debt growth over the past decade and some households are already very financially fragile; (iv) a predominance of informal finance with, however, a rise in finance; (v) a suspension of repayments, including for most informal lenders; (vi) a halt to unsecured debt and an erosion of the trust that cements most transactions; (vii) finally, the emergence of new forms of secured debt that threaten household assets. The sharp rise in debt observed over the last decade is the result of a widening of credit opportunities, partly formal but mostly informal. These have been made possible by building new relationships of trust but also of </w:t>
      </w:r>
      <w:r>
        <w:lastRenderedPageBreak/>
        <w:t>confidence in the future, based on strong economic growth that was believed to be sustainable. The lockdown highlights the fragility of these dynamics. For the poorest (mostly, but not only, Dalits), neither the state nor intra-caste or kinship solidarity are sufficient as a safety net. Impoverishment and a return to old forms of dependency seem to be the only way out.</w:t>
      </w:r>
    </w:p>
    <w:p w14:paraId="63BEE56D" w14:textId="77777777" w:rsidR="001E7B45" w:rsidRDefault="000109F5" w:rsidP="00311AB2">
      <w:pPr>
        <w:pStyle w:val="BodyText"/>
        <w:spacing w:line="360" w:lineRule="auto"/>
      </w:pPr>
      <w:proofErr w:type="gramStart"/>
      <w:r>
        <w:rPr>
          <w:i/>
          <w:iCs/>
        </w:rPr>
        <w:t>Keywords </w:t>
      </w:r>
      <w:r>
        <w:t>:</w:t>
      </w:r>
      <w:proofErr w:type="gramEnd"/>
      <w:r>
        <w:t>  Debt, lockdown, caste, employment, India, Trust.</w:t>
      </w:r>
    </w:p>
    <w:p w14:paraId="2D7461DD" w14:textId="77777777" w:rsidR="001E7B45" w:rsidRDefault="00E043A5" w:rsidP="00311AB2">
      <w:pPr>
        <w:spacing w:line="360" w:lineRule="auto"/>
      </w:pPr>
      <w:r>
        <w:pict w14:anchorId="6DE2CF11">
          <v:rect id="_x0000_i1026" style="width:0;height:1.5pt" o:hralign="center" o:hrstd="t" o:hr="t"/>
        </w:pict>
      </w:r>
    </w:p>
    <w:p w14:paraId="64DB17E6" w14:textId="77777777" w:rsidR="001E7B45" w:rsidRDefault="000109F5" w:rsidP="00311AB2">
      <w:pPr>
        <w:pStyle w:val="Heading1"/>
        <w:spacing w:line="360" w:lineRule="auto"/>
      </w:pPr>
      <w:bookmarkStart w:id="0" w:name="section:introduction"/>
      <w:r>
        <w:t>Introduction</w:t>
      </w:r>
    </w:p>
    <w:p w14:paraId="4430D0BC" w14:textId="77777777" w:rsidR="001E7B45" w:rsidRDefault="000109F5" w:rsidP="00311AB2">
      <w:pPr>
        <w:pStyle w:val="BodyText"/>
        <w:spacing w:line="360" w:lineRule="auto"/>
      </w:pPr>
      <w:r>
        <w:t>What does “lockdown” mean in a context in which people depend on mobility and debt to make a living? In economies like India in which informal and vulnerable employment is the rule rather than the exception, and in which social protection remains the privilege of a minority, debt and movement are necessary for survival and protection. While much attention has been paid to informal labour and migration, this article focuses on the consequences of the lockdown in terms of private debt. It is based on an ongoing study in a rural area of Tamil Nadu, South India.</w:t>
      </w:r>
    </w:p>
    <w:p w14:paraId="1FC491A4" w14:textId="77777777" w:rsidR="001E7B45" w:rsidRDefault="000109F5" w:rsidP="00311AB2">
      <w:pPr>
        <w:pStyle w:val="BodyText"/>
        <w:spacing w:line="360" w:lineRule="auto"/>
      </w:pPr>
      <w:r>
        <w:t>Researchers, activists and journalists have already warned of the dramatic consequences of the lockdown in the Global South. Martin Ravallion, for instance, anticipates that the response to the pandemic could turn into famine. He underlines the trade-off between two components of health: “illness due to the virus, and hunger and poor nutrition resulting from economic isolation and disruption to markets and institutions, including private social protection” (Ravallion 2020)</w:t>
      </w:r>
      <w:r>
        <w:rPr>
          <w:rStyle w:val="FootnoteReference"/>
        </w:rPr>
        <w:footnoteReference w:id="7"/>
      </w:r>
      <w:r>
        <w:t xml:space="preserve">. The issue is of particular concern in India. Strong lockdown measures were taken as early as March 24, first for three weeks and then extended until 31st of May (at the time of the writing). Soon after the lockdown, Jayati Ghosh, economist at Jawaharlal Nehru University, considered that “it has already completely destroyed the urban economy”, and it is a “much bigger stroke than the demonetization” (Thapar 2020). </w:t>
      </w:r>
      <w:r>
        <w:lastRenderedPageBreak/>
        <w:t>Since then, various investigations have been carried out by researchers, activists and journalists to better appreciate the magnitude of the consequences. This body of research and reflection confirms the dramatic consequences of the lockdown, described as “the greatest human tragedy in India’s recent history” (Bhagat et al. 2020), that could take us back to a time of a “Republic of Hunger” (Deshpande 2020). After the demonetization (November 2016), the Goods and Services Tax reform (July 2017), the lockdown, quickly coupled with the dismantling of several labour laws</w:t>
      </w:r>
      <w:r>
        <w:rPr>
          <w:rStyle w:val="FootnoteReference"/>
        </w:rPr>
        <w:footnoteReference w:id="8"/>
      </w:r>
      <w:r>
        <w:t>, can be considered as “a declaration of war on casual or bonded migrant labour” (Harriss-White 2020).</w:t>
      </w:r>
    </w:p>
    <w:p w14:paraId="53141625" w14:textId="77777777" w:rsidR="001E7B45" w:rsidRDefault="000109F5" w:rsidP="00311AB2">
      <w:pPr>
        <w:pStyle w:val="BodyText"/>
        <w:spacing w:line="360" w:lineRule="auto"/>
      </w:pPr>
      <w:r>
        <w:t>The consequences of the lockdown on informal labour, both present and future, rightly give rise to a great deal of concern (ILO 2020; Majid 2020). This is particularly the case in India, where informal employment is estimated at 80-90 percent of the labour force (ILO 2016; Harriss-White 2020; Srivastava 2020). The vast majority of these informal workers therefore no longer have any source of income. The most vulnerable are internal migrants, who account for a considerable share of employment. According to the most recent estimate, the number of vulnerable migrant workers ranges from 115 to 140 million (Srivastava 2020). When the lockdown was announced, some of them returned home, often in dramatic conditions, either in crowded buses, on foot due to lack of transport (Bhagat et al. 2020; Mukhopadhyay, Naik, and Aiyar 2020; Picherit 2020). Others were trapped on the spot, left behind in miserable conditions (Jan Sahas 2020)</w:t>
      </w:r>
      <w:r>
        <w:rPr>
          <w:rStyle w:val="FootnoteReference"/>
        </w:rPr>
        <w:footnoteReference w:id="9"/>
      </w:r>
      <w:r>
        <w:t>.</w:t>
      </w:r>
    </w:p>
    <w:p w14:paraId="44A273EA" w14:textId="77777777" w:rsidR="001E7B45" w:rsidRDefault="000109F5" w:rsidP="00311AB2">
      <w:pPr>
        <w:pStyle w:val="BodyText"/>
        <w:spacing w:line="360" w:lineRule="auto"/>
      </w:pPr>
      <w:r>
        <w:t xml:space="preserve">While the issue of employment and labour is of course crucial, another aspect is also critical: that of private debt. Private debt, in India and elsewhere, has increased massively in recent decades. According to UNCTAD analyses, based on MFI data, the global stock of debt, compared to GDP, has returned to its pre-global financial crisis level (260 percent in 2017, as opposed to 240 percent at the onset of the global financial crisis and 140 percent in </w:t>
      </w:r>
      <w:r>
        <w:lastRenderedPageBreak/>
        <w:t>1980). This growth has largely been driven by the rise in private debt, which has increased more than 12-fold since 1980 and accounted for two-thirds of global debt in 2017. Developing countries, where private debt has long been confined to relatively low levels, are following the same trend: as a share of global GDP, private debt rose from 79 percent in 2008 to 139 percent in 2017 and is largely driven by non-financial corporations. “The unprecedented explosion of private debt should clearly raise the loudest alarm bells” (UNCTAD 2019, 74–75), all the more that a large part of this debt finances social reproduction rather than investment (UNCTAD 2019, 83). The latest World Bank report also warns of the crisis risks of a new wave of debt, both public and private, in developing countries (World Bank 2020). A UN report denounces the human rights deprivations linked to unsustainable levels of private debt (UN 2020). The available data sometimes considerably underestimate actual indebtedness, as they do not, or poorly take informal indebtedness into account, which remains high in many contexts (Collins et al. 2009; Demirgüç-Kunt et al. 2018). Again, this is particularly the case in India (Gregory 1997; Nair 2016). In our survey area, the NEEMSIS, informal debt represents 70 percent of household outstanding debt in volume.</w:t>
      </w:r>
    </w:p>
    <w:p w14:paraId="2745B61F" w14:textId="77777777" w:rsidR="001E7B45" w:rsidRDefault="000109F5" w:rsidP="00311AB2">
      <w:pPr>
        <w:pStyle w:val="BodyText"/>
        <w:spacing w:line="360" w:lineRule="auto"/>
      </w:pPr>
      <w:r>
        <w:t>This rise in private debt, in India and other parts of the Global South, is the outcome of several factors (Servet and Saiag 2013; UN 2020). Low and irregular real incomes are one such factor, given the persistence of informal and vulnerable employment (ILO 2018). Expenses are meanwhile increasing. Self-consumption, long a pillar of food security for rural families, has declined sharply over the last decades. Access to basic services such as water, electricity, housing and healthcare are becoming increasingly commodified. There has been an explosion of private provision of education, including among poor households seeking a better future for their children. The depletion of certain natural resources and of hitherto free common goods (drying up of groundwater, the disappearance of forest areas or restricted access to them, etc.) is causing substantial loss of earnings for some segments of the population. The adoption of urban lifestyles has led to a considerable increase in the supply of new goods, both identity and functional in nature. This is the case of mobile phones, but also household appliances, computers, internet access, motor vehicles (motorcycles or cars).</w:t>
      </w:r>
    </w:p>
    <w:p w14:paraId="38687C22" w14:textId="77777777" w:rsidR="001E7B45" w:rsidRDefault="000109F5" w:rsidP="00311AB2">
      <w:pPr>
        <w:pStyle w:val="BodyText"/>
        <w:spacing w:line="360" w:lineRule="auto"/>
      </w:pPr>
      <w:r>
        <w:lastRenderedPageBreak/>
        <w:t>The combination of strong economic growth and growing inequality (Chancel and Piketty 2019), typical of the Indian economy but also of many emerging countries, is fueling strong aspirations for social mobility. These can translate into the acquisition of sustainable consumer goods, a sign of integration into the consumer society (Saiag 2020; Gonzalez 2015). Aspirations can also translate into social investments such as marriage alliances, as in South Africa or India (James 2015; Srinivasan 2005). In the face of uncertain labour markets, matrimonial alliances can be a perfectly rational strategy for social mobility, or simply for security, especially for women (De Neve 2016). In addition to this, access to credit (the flip side of debt) can be in itself experienced as a source of recognition and emancipation, compared to other sources of debt that are considered oppressive because they are embedded in unequal social relations such as class, race, caste, kinship or gender. This is the case, for example, for working classes in Argentina (Saiag 2020) or Chile (Gonzalez 2015). This is also observed in South Africa for the black community (James 2015). It is the case in India for the Dalits, as we shall see here.</w:t>
      </w:r>
    </w:p>
    <w:p w14:paraId="1B6EF906" w14:textId="77777777" w:rsidR="001E7B45" w:rsidRDefault="000109F5" w:rsidP="00311AB2">
      <w:pPr>
        <w:pStyle w:val="BodyText"/>
        <w:spacing w:line="360" w:lineRule="auto"/>
      </w:pPr>
      <w:r>
        <w:t>For households that are already massively indebted, and at a time when their sources of income are seriously affected, what will be the consequences of the lockdown? In some countries, regulatory moratoriums force credit providers to suspend repayments. This is observed in India and this is obviously very good news for borrowers, at least in the short term. But what about informal lenders, who still represent the bulk of debt sources? And in order to survive the day-to-day, do households have the possibility of taking on new debts to cope with their falling income? In the absence of income, won’t they be forced to mortgage assets and what will be the consequences? The drop in income is obviously dramatic in the short term. The loss of assets is even more dramatic because it threatens future security, and the scale of a crisis can be measured precisely by the size of the assets destroyed (Rhyne 2020). In addition to physical capital (land, housing, agricultural equipment, gold), reputation and trust play a crucial role since both largely condition creditworthiness (and access to employment). The embeddedness of economic transactions in personal relationships, typical of informal economies (Jean-Phiilippe Platteau 1994; Hart 2000), remains a predominant reality in India (Harriss-White 2003).</w:t>
      </w:r>
    </w:p>
    <w:p w14:paraId="0B541866" w14:textId="77777777" w:rsidR="001E7B45" w:rsidRDefault="000109F5" w:rsidP="00311AB2">
      <w:pPr>
        <w:pStyle w:val="BodyText"/>
        <w:spacing w:line="360" w:lineRule="auto"/>
      </w:pPr>
      <w:r>
        <w:lastRenderedPageBreak/>
        <w:t>This article is an attempt to answer these questions. It draws on a long-term knowledge of a region of Tamil Nadu, longitudinal data on employment, debt and assets (2010-2016/17) as well as qualitative surveys conducted by telephone since the beginning of the lockdown (</w:t>
      </w:r>
      <w:hyperlink w:anchor="section:data">
        <w:r>
          <w:rPr>
            <w:rStyle w:val="Hyperlink"/>
          </w:rPr>
          <w:t>1</w:t>
        </w:r>
      </w:hyperlink>
      <w:r>
        <w:t>). Our results can be summarized as follows: the drying up of part of farm income and the bulk of off-farm income (</w:t>
      </w:r>
      <w:hyperlink w:anchor="section:income">
        <w:r>
          <w:rPr>
            <w:rStyle w:val="Hyperlink"/>
          </w:rPr>
          <w:t>2</w:t>
        </w:r>
      </w:hyperlink>
      <w:r>
        <w:t>); the limited role of cash saving and cash transfers (</w:t>
      </w:r>
      <w:hyperlink w:anchor="section:saving">
        <w:r>
          <w:rPr>
            <w:rStyle w:val="Hyperlink"/>
          </w:rPr>
          <w:t>3</w:t>
        </w:r>
      </w:hyperlink>
      <w:r>
        <w:t>); the debt burden, since the population has faced massive debt growth over the past decade and some households are already very financially fragile (</w:t>
      </w:r>
      <w:hyperlink w:anchor="section:burden">
        <w:r>
          <w:rPr>
            <w:rStyle w:val="Hyperlink"/>
          </w:rPr>
          <w:t>4</w:t>
        </w:r>
      </w:hyperlink>
      <w:r>
        <w:t>); a predominance of informal finance with, however, a rise in formal finance (</w:t>
      </w:r>
      <w:hyperlink w:anchor="section:finlandscape">
        <w:r>
          <w:rPr>
            <w:rStyle w:val="Hyperlink"/>
          </w:rPr>
          <w:t>5</w:t>
        </w:r>
      </w:hyperlink>
      <w:r>
        <w:t>) a suspension of repayments, including for most informal lenders (</w:t>
      </w:r>
      <w:hyperlink w:anchor="section:repayment">
        <w:r>
          <w:rPr>
            <w:rStyle w:val="Hyperlink"/>
          </w:rPr>
          <w:t>6</w:t>
        </w:r>
      </w:hyperlink>
      <w:r>
        <w:t>); this goes along with a halt to unsecured debt and an erosion of the trust that cements most transactions (</w:t>
      </w:r>
      <w:hyperlink w:anchor="section:trust">
        <w:r>
          <w:rPr>
            <w:rStyle w:val="Hyperlink"/>
          </w:rPr>
          <w:t>7</w:t>
        </w:r>
      </w:hyperlink>
      <w:r>
        <w:t>); and finally the emergence of new forms of secured debt (some of which are old forms that had disappeared) that threaten household assets (</w:t>
      </w:r>
      <w:hyperlink w:anchor="section:newforms">
        <w:r>
          <w:rPr>
            <w:rStyle w:val="Hyperlink"/>
          </w:rPr>
          <w:t>8</w:t>
        </w:r>
      </w:hyperlink>
      <w:r>
        <w:t>).</w:t>
      </w:r>
    </w:p>
    <w:p w14:paraId="3438C3E4" w14:textId="77777777" w:rsidR="001E7B45" w:rsidRDefault="000109F5" w:rsidP="00311AB2">
      <w:pPr>
        <w:pStyle w:val="BodyText"/>
        <w:spacing w:line="360" w:lineRule="auto"/>
      </w:pPr>
      <w:r>
        <w:t>The conclusion will discuss the implications and lessons of our findings. We will also briefly discuss the gendered effects of our results, although these would deserve further analysis. Far beyond being only a financial transaction, debt (and its flip side, credit), is a social relationship, which can be one of mutual aid and solidarity as well as one of power and hierarchy (Mauss 1993; Peebles 2010). The financial landscape of the region under study has been profoundly transformed in recent decades, and these transformations are inseparable from deep agrarian, economic and social transformations: the decline of agriculture, access to non-agricultural employment outside the village, a relative emancipation of Dalits from upper castes, both in terms of labour and debt, and a strengthening of Dalit solidarity, including regarding access to debt. The sharp rise in debt is the result of a widening of credit opportunities, partly formal but mostly informal. These have been made possible by building new relationships of trust but also of confidence in the future, based on strong economic growth that was believed to be sustainable. The lockdown highlights the fragility of these dynamics. For the poorest (mostly, but not only, Dalits), neither the state nor intra-caste or kinship solidarity are sufficient as a safety net. Impoverishment and a return to old forms of dependency seem to be the only way out.</w:t>
      </w:r>
    </w:p>
    <w:p w14:paraId="00BFDC92" w14:textId="77777777" w:rsidR="001E7B45" w:rsidRDefault="000109F5" w:rsidP="00311AB2">
      <w:pPr>
        <w:pStyle w:val="Heading1"/>
        <w:spacing w:line="360" w:lineRule="auto"/>
      </w:pPr>
      <w:bookmarkStart w:id="1" w:name="section:data"/>
      <w:bookmarkEnd w:id="0"/>
      <w:r>
        <w:lastRenderedPageBreak/>
        <w:t>Data and context</w:t>
      </w:r>
    </w:p>
    <w:p w14:paraId="5B7D7F3D" w14:textId="77777777" w:rsidR="001E7B45" w:rsidRDefault="000109F5" w:rsidP="00311AB2">
      <w:pPr>
        <w:pStyle w:val="FirstParagraph"/>
        <w:spacing w:line="360" w:lineRule="auto"/>
      </w:pPr>
      <w:r>
        <w:t>Our findings rely on an original socio-economic survey conducted in rural Tamil Nadu and combines quantitative and qualitative data. Quantitative data include the NEEMSIS household and individual survey, conducted in 2016-17 and which focused on all aspects of rural life, including in-depth questionnaire modules on labour arrangements (including migration), financial practices (debt and saving), consumption, remittances, access to governmental schemes, etc</w:t>
      </w:r>
      <w:r>
        <w:rPr>
          <w:rStyle w:val="FootnoteReference"/>
        </w:rPr>
        <w:footnoteReference w:id="10"/>
      </w:r>
      <w:r>
        <w:t>. In total 2,692 individuals from 492 households were surveyed, spread across 19 villages in rural Tamil Nadu in the Cuddalore, Villuppuram, Kancheepuram, and Tiruppur districts. The original households and villages were randomly selected in 2010, using a stratified sample based on caste and location in terms of agricultural intensity and distance to town, and constituted then the sampling frame for collecting a panel dataset</w:t>
      </w:r>
      <w:r>
        <w:rPr>
          <w:rStyle w:val="FootnoteReference"/>
        </w:rPr>
        <w:footnoteReference w:id="11"/>
      </w:r>
      <w:r>
        <w:t xml:space="preserve"> in 2016-17. The data collection took place during harvest season. Incidentally, a break in the survey in 2016-17 occurred, partly due to the demonetization shock in November 2016. We took this opportunity to use the survey as a quasi-experimental design, allowing us to compare the situations of households before and after demonetization (Guérin et al. 2017; Hilger and Nordman 2020). Our results showed that demonetization had strong effects on employment, daily financial practices, and social network use for more than three months, as people relied more heavily on their networks to sustain their economic and social activities (Guérin et al. 2017). In addition, we found that this common shock had differential effects on levels of interpersonal trust, given the type of interactions that took place as a result of the shock. Notably, we highlighted an homophily principle in network use, where interactions that happened within a homogeneous group (neighborhoods for lower castes, kin and other caste members for </w:t>
      </w:r>
      <w:r>
        <w:lastRenderedPageBreak/>
        <w:t>upper castes) fostered trust, while outside interactions or relying on marginal ties decreased it (Hilger and Nordman 2020). While one of the main objectives of demonetization was the fight against corruption and the illegal economy, we rather observed that the shock had mostly strengthened the informal economy, and marginalised further those who lack effective support networks within their own community (caste group). As we will see in this paper, the lockdown effects are totally different: not only many economic transactions are reduced and even blocked, but also, pre-existing informal social interactions are discouraged and prohibited. Above all, uncertainty on the future is so high that it prevents both forms of exchanges. At the same time, new forms of financial transactions, based on physical collateral, are emerging.</w:t>
      </w:r>
    </w:p>
    <w:p w14:paraId="78873BD2" w14:textId="77777777" w:rsidR="001E7B45" w:rsidRDefault="000109F5" w:rsidP="00311AB2">
      <w:pPr>
        <w:pStyle w:val="BodyText"/>
        <w:spacing w:line="360" w:lineRule="auto"/>
      </w:pPr>
      <w:r>
        <w:t>The NEEMSIS data took place in a broader and still ongoing research programme launched in 2003, centred around questions on labour and finance behaviour and situated in coastal/central Tamil Nadu (South India). In addition to quantitative surveys, various qualitative tools have been used since 2003. Concerning finance, the objective was to better capture the social and moral significance of financial practices, the way they interrelate with various social institutions such as caste, gender, class and the role that finance plays in the dynamics of social mobility and daily survival. Qualitative tools include life histories, which reconstruct family trajectories over time and the role of finance in the different stages of the life cycle; financial diaries, which trace all the financial flows of a residential unit; observation, which capture the nature of the relationship between lender and creditor and the modes of enforcement; informal interviews, which capture the lived experience of financial practices and the reasons why people, when given the choice, prefer this or that instrument.</w:t>
      </w:r>
    </w:p>
    <w:p w14:paraId="770EEBD6" w14:textId="77777777" w:rsidR="001E7B45" w:rsidRDefault="000109F5" w:rsidP="00311AB2">
      <w:pPr>
        <w:pStyle w:val="BodyText"/>
        <w:spacing w:line="360" w:lineRule="auto"/>
      </w:pPr>
      <w:r>
        <w:t>This long-term presence in the same field has enabled us to build special relationships with villagers, from landowners and local politicians to daily labourers, both men and women. At the time the lockdown was announced, many villagers contacted us by phone to obtain information about the duration of the lockdown, government programmes, sales opportunities for farmers’ products, etc. We took advantage of these spontaneous requests to ask them about their perception and their copying mechanisms. We also helped set up a food distribution system, a measure that we felt was ethically indispensable given our long-</w:t>
      </w:r>
      <w:r>
        <w:lastRenderedPageBreak/>
        <w:t>term commitment to the region. Our qualitative analysis combines our previous knowledge of the region with these telephone interviews.</w:t>
      </w:r>
    </w:p>
    <w:p w14:paraId="127A5706" w14:textId="77777777" w:rsidR="001E7B45" w:rsidRDefault="000109F5" w:rsidP="00311AB2">
      <w:pPr>
        <w:pStyle w:val="BodyText"/>
        <w:spacing w:line="360" w:lineRule="auto"/>
      </w:pPr>
      <w:r>
        <w:t>The original studied zone is economically dynamic, featuring a large proportion of irrigated agriculture, two industrial towns (Neyveli and Cuddalore) and a regional business centre (Panruti). Vanniyars and Paraiyars are the two major local groups across the region. Vanniyars can be qualified as “middle castes”. They are a farming caste with a low ritual rank, but in the villages we studied, as in many places in northeast Tamil Nadu, they control much of the land and are politically dominant</w:t>
      </w:r>
      <w:r>
        <w:rPr>
          <w:rStyle w:val="FootnoteReference"/>
        </w:rPr>
        <w:footnoteReference w:id="12"/>
      </w:r>
      <w:r>
        <w:t>. Paraiyars are one of the major Dalit communities in Tamil Nadu. There are also few Arunthathiyars among the Dalits in the studied zone. The upper castes of the local hierarchy are the Mudaliyars, Chettiyars, Naidus, Reddiyars, Settus and Yathavars, who account for only a small proportion of the village population. Christians and Muslims are a minority in the area. Lower castes or Dalits represent 46.5 percent, middle castes 44 percent and upper castes 9.5 percent of the NEEMSIS sample.</w:t>
      </w:r>
    </w:p>
    <w:p w14:paraId="7A693268" w14:textId="6C045B28" w:rsidR="001E7B45" w:rsidRDefault="000109F5" w:rsidP="00311AB2">
      <w:pPr>
        <w:pStyle w:val="BodyText"/>
        <w:spacing w:line="360" w:lineRule="auto"/>
      </w:pPr>
      <w:r>
        <w:t>The region has seen many changes over the last three decades. Upper castes have mostly moved away from the villages to nearby towns, adopting urban jobs and lifestyles, and selling an important part of their land to Vanniyars. Overall, upper castes still have a hold on village life but are not as powerful as they used to be (Harriss 2013). Land transfers to Vanniyars explain in great part why they are now dominant (Harriss and Jeyaranjan 2016), given that their dominance is permanently contested, including by Dalits (Pandian 2000). As for Dalits, although their situation has been improving thanks to the combination of short term migration to nearby towns and industrial centres, and governmental schemes (reflected by subsidized housing, food, education, etc.; Guérin, Venkatasubramanian, and Michiels (2014), (2014))</w:t>
      </w:r>
      <w:r>
        <w:rPr>
          <w:rStyle w:val="FootnoteReference"/>
        </w:rPr>
        <w:footnoteReference w:id="13"/>
      </w:r>
      <w:r>
        <w:t xml:space="preserve">, inequalities persist. In terms of education (Table </w:t>
      </w:r>
      <w:hyperlink w:anchor="Global">
        <w:r w:rsidR="004B0208">
          <w:rPr>
            <w:rStyle w:val="Hyperlink"/>
          </w:rPr>
          <w:t>1</w:t>
        </w:r>
      </w:hyperlink>
      <w:r>
        <w:t xml:space="preserve">), looking at household heads, 58 percent of Dalits had not completed primary education level in 2016-17, compared to 38 percent of middle caste and 23 percent of upper caste household heads. </w:t>
      </w:r>
      <w:r>
        <w:lastRenderedPageBreak/>
        <w:t xml:space="preserve">Looking at incomes, the average annual income of Dalit households is INR 112k (median 68k), compared to INR 118k for middle and upper castes (median 82k and 103k respectively). In terms of assets (land and house value, gold owned, value of livestock and farm equipment and value of consumer durable), Dalit households exhibited in 2016-17 an average value of INR 352k, while middle castes and upper castes households held respectively INR 1,098k and INR 1,263k. The important decrease in asset values (38 percent) for upper caste households between 2010 and 2016-17 may be explained by the process of land transfer to middle castes households between the two years (see Table </w:t>
      </w:r>
      <w:hyperlink w:anchor="Global">
        <w:r w:rsidR="004B0208">
          <w:rPr>
            <w:rStyle w:val="Hyperlink"/>
          </w:rPr>
          <w:t>1</w:t>
        </w:r>
      </w:hyperlink>
      <w:r>
        <w:t>). It is likely that for some of them, the sale of land has allowed for urban investments (such as loans or transport), which the survey does not capture. For Dalits and middle-caste, the loss of land is probably the result of a non-choice: a sale to pay off a debt or to pay for a marriage.</w:t>
      </w:r>
    </w:p>
    <w:p w14:paraId="30BFA696" w14:textId="77777777" w:rsidR="001E7B45" w:rsidRDefault="000109F5" w:rsidP="00311AB2">
      <w:pPr>
        <w:pStyle w:val="BodyText"/>
        <w:spacing w:line="360" w:lineRule="auto"/>
      </w:pPr>
      <w:r>
        <w:t>Before exploring debt issues, let us take a quick look at the structure of employment and the impact of the lockdown on employment earnings.</w:t>
      </w:r>
    </w:p>
    <w:p w14:paraId="4366840F" w14:textId="77777777" w:rsidR="001E7B45" w:rsidRDefault="000109F5" w:rsidP="00311AB2">
      <w:pPr>
        <w:pStyle w:val="Heading1"/>
        <w:spacing w:line="360" w:lineRule="auto"/>
      </w:pPr>
      <w:bookmarkStart w:id="2" w:name="section:income"/>
      <w:bookmarkEnd w:id="1"/>
      <w:r>
        <w:t>The drop in income: real but unequal</w:t>
      </w:r>
    </w:p>
    <w:p w14:paraId="4EE51CCC" w14:textId="295BB0BA" w:rsidR="001E7B45" w:rsidRDefault="000109F5" w:rsidP="00311AB2">
      <w:pPr>
        <w:pStyle w:val="FirstParagraph"/>
        <w:spacing w:line="360" w:lineRule="auto"/>
      </w:pPr>
      <w:r>
        <w:t xml:space="preserve">What happened to labour and income under the lockdown? Like elsewhere in India, non-farm income is now largely dominant across all social categories and has declined over the period and labour segmentation remains strong (Table </w:t>
      </w:r>
      <w:hyperlink w:anchor="Global">
        <w:r w:rsidR="004B0208">
          <w:rPr>
            <w:rStyle w:val="Hyperlink"/>
          </w:rPr>
          <w:t>1</w:t>
        </w:r>
      </w:hyperlink>
      <w:r>
        <w:t>): Dalits are still specialised in casual employment, both in the farm and non-farm sectors, which accounts for 65 percent of their main activities. Middle castes are over-represented as farmers (one third) and upper castes as entrepreneurs (42 percent). A sharp decline is also observed in terms of land ownership. Our survey figures confirm global trends that can be observed all over India (Lerche 2009; Himanshu 2011; Landy 2018).</w:t>
      </w:r>
    </w:p>
    <w:p w14:paraId="476E5B99" w14:textId="17EDD5CB" w:rsidR="0046372A" w:rsidRDefault="0046372A" w:rsidP="0046372A">
      <w:pPr>
        <w:pStyle w:val="Caption"/>
        <w:keepNext/>
      </w:pPr>
      <w:r>
        <w:t xml:space="preserve">Table </w:t>
      </w:r>
      <w:fldSimple w:instr=" SEQ Table \* ARABIC ">
        <w:r w:rsidR="00095768">
          <w:rPr>
            <w:noProof/>
          </w:rPr>
          <w:t>1</w:t>
        </w:r>
      </w:fldSimple>
      <w:r>
        <w:t xml:space="preserve"> Characteristics of the population – Source: RUME (2010) and NEEMSIS-1 (2016-17); author’s calculations.</w:t>
      </w:r>
    </w:p>
    <w:tbl>
      <w:tblPr>
        <w:tblW w:w="0" w:type="auto"/>
        <w:tblCellMar>
          <w:left w:w="70" w:type="dxa"/>
          <w:right w:w="70" w:type="dxa"/>
        </w:tblCellMar>
        <w:tblLook w:val="04A0" w:firstRow="1" w:lastRow="0" w:firstColumn="1" w:lastColumn="0" w:noHBand="0" w:noVBand="1"/>
      </w:tblPr>
      <w:tblGrid>
        <w:gridCol w:w="2474"/>
        <w:gridCol w:w="642"/>
        <w:gridCol w:w="743"/>
        <w:gridCol w:w="181"/>
        <w:gridCol w:w="733"/>
        <w:gridCol w:w="743"/>
        <w:gridCol w:w="181"/>
        <w:gridCol w:w="733"/>
        <w:gridCol w:w="743"/>
        <w:gridCol w:w="181"/>
        <w:gridCol w:w="733"/>
        <w:gridCol w:w="743"/>
      </w:tblGrid>
      <w:tr w:rsidR="00311AB2" w:rsidRPr="0046372A" w14:paraId="6468C2CF" w14:textId="77777777" w:rsidTr="0046372A">
        <w:trPr>
          <w:trHeight w:val="288"/>
        </w:trPr>
        <w:tc>
          <w:tcPr>
            <w:tcW w:w="0" w:type="auto"/>
            <w:tcBorders>
              <w:top w:val="single" w:sz="4" w:space="0" w:color="auto"/>
              <w:left w:val="nil"/>
              <w:bottom w:val="nil"/>
              <w:right w:val="nil"/>
            </w:tcBorders>
            <w:shd w:val="clear" w:color="000000" w:fill="FFFFFF"/>
            <w:noWrap/>
            <w:vAlign w:val="bottom"/>
            <w:hideMark/>
          </w:tcPr>
          <w:p w14:paraId="2151A50C" w14:textId="77777777" w:rsidR="00311AB2" w:rsidRPr="00311AB2" w:rsidRDefault="00311AB2" w:rsidP="0046372A">
            <w:pPr>
              <w:spacing w:after="0"/>
              <w:rPr>
                <w:rFonts w:ascii="Calibri" w:eastAsia="Times New Roman" w:hAnsi="Calibri" w:cs="Calibri"/>
                <w:color w:val="000000"/>
                <w:sz w:val="18"/>
                <w:szCs w:val="18"/>
                <w:lang w:val="en-GB" w:eastAsia="fr-FR"/>
              </w:rPr>
            </w:pPr>
            <w:r w:rsidRPr="00311AB2">
              <w:rPr>
                <w:rFonts w:ascii="Calibri" w:eastAsia="Times New Roman" w:hAnsi="Calibri" w:cs="Calibri"/>
                <w:color w:val="000000"/>
                <w:sz w:val="18"/>
                <w:szCs w:val="18"/>
                <w:lang w:val="en-GB" w:eastAsia="fr-FR"/>
              </w:rPr>
              <w:t> </w:t>
            </w:r>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54357E9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Dalits</w:t>
            </w:r>
          </w:p>
        </w:tc>
        <w:tc>
          <w:tcPr>
            <w:tcW w:w="0" w:type="auto"/>
            <w:tcBorders>
              <w:top w:val="single" w:sz="4" w:space="0" w:color="auto"/>
              <w:left w:val="nil"/>
              <w:bottom w:val="nil"/>
              <w:right w:val="nil"/>
            </w:tcBorders>
            <w:shd w:val="clear" w:color="000000" w:fill="FFFFFF"/>
            <w:noWrap/>
            <w:vAlign w:val="bottom"/>
            <w:hideMark/>
          </w:tcPr>
          <w:p w14:paraId="23477B9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085E3EC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Middle</w:t>
            </w:r>
          </w:p>
        </w:tc>
        <w:tc>
          <w:tcPr>
            <w:tcW w:w="0" w:type="auto"/>
            <w:tcBorders>
              <w:top w:val="single" w:sz="4" w:space="0" w:color="auto"/>
              <w:left w:val="nil"/>
              <w:bottom w:val="nil"/>
              <w:right w:val="nil"/>
            </w:tcBorders>
            <w:shd w:val="clear" w:color="000000" w:fill="FFFFFF"/>
            <w:noWrap/>
            <w:vAlign w:val="bottom"/>
            <w:hideMark/>
          </w:tcPr>
          <w:p w14:paraId="229B451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39B6534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proofErr w:type="spellStart"/>
            <w:r w:rsidRPr="00311AB2">
              <w:rPr>
                <w:rFonts w:ascii="Calibri" w:eastAsia="Times New Roman" w:hAnsi="Calibri" w:cs="Calibri"/>
                <w:color w:val="000000"/>
                <w:sz w:val="18"/>
                <w:szCs w:val="18"/>
                <w:lang w:val="fr-FR" w:eastAsia="fr-FR"/>
              </w:rPr>
              <w:t>Upper</w:t>
            </w:r>
            <w:proofErr w:type="spellEnd"/>
          </w:p>
        </w:tc>
        <w:tc>
          <w:tcPr>
            <w:tcW w:w="0" w:type="auto"/>
            <w:tcBorders>
              <w:top w:val="single" w:sz="4" w:space="0" w:color="auto"/>
              <w:left w:val="nil"/>
              <w:bottom w:val="nil"/>
              <w:right w:val="nil"/>
            </w:tcBorders>
            <w:shd w:val="clear" w:color="000000" w:fill="FFFFFF"/>
            <w:noWrap/>
            <w:vAlign w:val="bottom"/>
            <w:hideMark/>
          </w:tcPr>
          <w:p w14:paraId="22A6A9E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6ED1099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Total</w:t>
            </w:r>
          </w:p>
        </w:tc>
      </w:tr>
      <w:tr w:rsidR="0046372A" w:rsidRPr="0046372A" w14:paraId="073A79D4" w14:textId="77777777" w:rsidTr="0046372A">
        <w:trPr>
          <w:trHeight w:val="288"/>
        </w:trPr>
        <w:tc>
          <w:tcPr>
            <w:tcW w:w="0" w:type="auto"/>
            <w:tcBorders>
              <w:top w:val="nil"/>
              <w:left w:val="nil"/>
              <w:bottom w:val="single" w:sz="4" w:space="0" w:color="auto"/>
              <w:right w:val="nil"/>
            </w:tcBorders>
            <w:shd w:val="clear" w:color="000000" w:fill="FFFFFF"/>
            <w:noWrap/>
            <w:vAlign w:val="bottom"/>
            <w:hideMark/>
          </w:tcPr>
          <w:p w14:paraId="220675D0"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6CE274A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000000" w:fill="FFFFFF"/>
            <w:noWrap/>
            <w:vAlign w:val="bottom"/>
            <w:hideMark/>
          </w:tcPr>
          <w:p w14:paraId="46A1ADB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2016-17</w:t>
            </w:r>
          </w:p>
        </w:tc>
        <w:tc>
          <w:tcPr>
            <w:tcW w:w="0" w:type="auto"/>
            <w:tcBorders>
              <w:top w:val="nil"/>
              <w:left w:val="nil"/>
              <w:bottom w:val="single" w:sz="4" w:space="0" w:color="auto"/>
              <w:right w:val="nil"/>
            </w:tcBorders>
            <w:shd w:val="clear" w:color="000000" w:fill="FFFFFF"/>
            <w:noWrap/>
            <w:vAlign w:val="bottom"/>
            <w:hideMark/>
          </w:tcPr>
          <w:p w14:paraId="439316B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7CDBF36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000000" w:fill="FFFFFF"/>
            <w:noWrap/>
            <w:vAlign w:val="bottom"/>
            <w:hideMark/>
          </w:tcPr>
          <w:p w14:paraId="1D16813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2016-17</w:t>
            </w:r>
          </w:p>
        </w:tc>
        <w:tc>
          <w:tcPr>
            <w:tcW w:w="0" w:type="auto"/>
            <w:tcBorders>
              <w:top w:val="nil"/>
              <w:left w:val="nil"/>
              <w:bottom w:val="single" w:sz="4" w:space="0" w:color="auto"/>
              <w:right w:val="nil"/>
            </w:tcBorders>
            <w:shd w:val="clear" w:color="000000" w:fill="FFFFFF"/>
            <w:noWrap/>
            <w:vAlign w:val="bottom"/>
            <w:hideMark/>
          </w:tcPr>
          <w:p w14:paraId="036865D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5716AAF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000000" w:fill="FFFFFF"/>
            <w:noWrap/>
            <w:vAlign w:val="bottom"/>
            <w:hideMark/>
          </w:tcPr>
          <w:p w14:paraId="1BA892E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2016-17</w:t>
            </w:r>
          </w:p>
        </w:tc>
        <w:tc>
          <w:tcPr>
            <w:tcW w:w="0" w:type="auto"/>
            <w:tcBorders>
              <w:top w:val="nil"/>
              <w:left w:val="nil"/>
              <w:bottom w:val="single" w:sz="4" w:space="0" w:color="auto"/>
              <w:right w:val="nil"/>
            </w:tcBorders>
            <w:shd w:val="clear" w:color="000000" w:fill="FFFFFF"/>
            <w:noWrap/>
            <w:vAlign w:val="bottom"/>
            <w:hideMark/>
          </w:tcPr>
          <w:p w14:paraId="2D17857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7A68549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000000" w:fill="FFFFFF"/>
            <w:noWrap/>
            <w:vAlign w:val="bottom"/>
            <w:hideMark/>
          </w:tcPr>
          <w:p w14:paraId="0F81F25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2016-17</w:t>
            </w:r>
          </w:p>
        </w:tc>
      </w:tr>
      <w:tr w:rsidR="0046372A" w:rsidRPr="0046372A" w14:paraId="260B1047" w14:textId="77777777" w:rsidTr="0046372A">
        <w:trPr>
          <w:trHeight w:val="288"/>
        </w:trPr>
        <w:tc>
          <w:tcPr>
            <w:tcW w:w="0" w:type="auto"/>
            <w:tcBorders>
              <w:top w:val="nil"/>
              <w:left w:val="nil"/>
              <w:bottom w:val="nil"/>
              <w:right w:val="nil"/>
            </w:tcBorders>
            <w:shd w:val="clear" w:color="000000" w:fill="FFFFFF"/>
            <w:noWrap/>
            <w:vAlign w:val="bottom"/>
            <w:hideMark/>
          </w:tcPr>
          <w:p w14:paraId="69607069" w14:textId="77777777" w:rsidR="00311AB2" w:rsidRPr="00311AB2" w:rsidRDefault="00311AB2" w:rsidP="0046372A">
            <w:pPr>
              <w:spacing w:after="0"/>
              <w:rPr>
                <w:rFonts w:ascii="Calibri" w:eastAsia="Times New Roman" w:hAnsi="Calibri" w:cs="Calibri"/>
                <w:color w:val="000000"/>
                <w:sz w:val="18"/>
                <w:szCs w:val="18"/>
                <w:lang w:val="fr-FR" w:eastAsia="fr-FR"/>
              </w:rPr>
            </w:pPr>
            <w:proofErr w:type="spellStart"/>
            <w:r w:rsidRPr="00311AB2">
              <w:rPr>
                <w:rFonts w:ascii="Calibri" w:eastAsia="Times New Roman" w:hAnsi="Calibri" w:cs="Calibri"/>
                <w:color w:val="000000"/>
                <w:sz w:val="18"/>
                <w:szCs w:val="18"/>
                <w:lang w:val="fr-FR" w:eastAsia="fr-FR"/>
              </w:rPr>
              <w:t>Number</w:t>
            </w:r>
            <w:proofErr w:type="spellEnd"/>
            <w:r w:rsidRPr="00311AB2">
              <w:rPr>
                <w:rFonts w:ascii="Calibri" w:eastAsia="Times New Roman" w:hAnsi="Calibri" w:cs="Calibri"/>
                <w:color w:val="000000"/>
                <w:sz w:val="18"/>
                <w:szCs w:val="18"/>
                <w:lang w:val="fr-FR" w:eastAsia="fr-FR"/>
              </w:rPr>
              <w:t xml:space="preserve"> of </w:t>
            </w:r>
            <w:proofErr w:type="spellStart"/>
            <w:r w:rsidRPr="00311AB2">
              <w:rPr>
                <w:rFonts w:ascii="Calibri" w:eastAsia="Times New Roman" w:hAnsi="Calibri" w:cs="Calibri"/>
                <w:color w:val="000000"/>
                <w:sz w:val="18"/>
                <w:szCs w:val="18"/>
                <w:lang w:val="fr-FR" w:eastAsia="fr-FR"/>
              </w:rPr>
              <w:t>household</w:t>
            </w:r>
            <w:proofErr w:type="spellEnd"/>
          </w:p>
        </w:tc>
        <w:tc>
          <w:tcPr>
            <w:tcW w:w="0" w:type="auto"/>
            <w:tcBorders>
              <w:top w:val="nil"/>
              <w:left w:val="nil"/>
              <w:bottom w:val="nil"/>
              <w:right w:val="nil"/>
            </w:tcBorders>
            <w:shd w:val="clear" w:color="000000" w:fill="FFFFFF"/>
            <w:noWrap/>
            <w:vAlign w:val="bottom"/>
            <w:hideMark/>
          </w:tcPr>
          <w:p w14:paraId="33C5676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n=194</w:t>
            </w:r>
          </w:p>
        </w:tc>
        <w:tc>
          <w:tcPr>
            <w:tcW w:w="0" w:type="auto"/>
            <w:tcBorders>
              <w:top w:val="nil"/>
              <w:left w:val="nil"/>
              <w:bottom w:val="nil"/>
              <w:right w:val="nil"/>
            </w:tcBorders>
            <w:shd w:val="clear" w:color="000000" w:fill="FFFFFF"/>
            <w:noWrap/>
            <w:vAlign w:val="bottom"/>
            <w:hideMark/>
          </w:tcPr>
          <w:p w14:paraId="371CAC8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n=236</w:t>
            </w:r>
          </w:p>
        </w:tc>
        <w:tc>
          <w:tcPr>
            <w:tcW w:w="0" w:type="auto"/>
            <w:tcBorders>
              <w:top w:val="nil"/>
              <w:left w:val="nil"/>
              <w:bottom w:val="nil"/>
              <w:right w:val="nil"/>
            </w:tcBorders>
            <w:shd w:val="clear" w:color="000000" w:fill="FFFFFF"/>
            <w:noWrap/>
            <w:vAlign w:val="bottom"/>
            <w:hideMark/>
          </w:tcPr>
          <w:p w14:paraId="621406F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55C33F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n=158</w:t>
            </w:r>
          </w:p>
        </w:tc>
        <w:tc>
          <w:tcPr>
            <w:tcW w:w="0" w:type="auto"/>
            <w:tcBorders>
              <w:top w:val="nil"/>
              <w:left w:val="nil"/>
              <w:bottom w:val="nil"/>
              <w:right w:val="nil"/>
            </w:tcBorders>
            <w:shd w:val="clear" w:color="000000" w:fill="FFFFFF"/>
            <w:noWrap/>
            <w:vAlign w:val="bottom"/>
            <w:hideMark/>
          </w:tcPr>
          <w:p w14:paraId="2D420C0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n=199</w:t>
            </w:r>
          </w:p>
        </w:tc>
        <w:tc>
          <w:tcPr>
            <w:tcW w:w="0" w:type="auto"/>
            <w:tcBorders>
              <w:top w:val="nil"/>
              <w:left w:val="nil"/>
              <w:bottom w:val="nil"/>
              <w:right w:val="nil"/>
            </w:tcBorders>
            <w:shd w:val="clear" w:color="000000" w:fill="FFFFFF"/>
            <w:noWrap/>
            <w:vAlign w:val="bottom"/>
            <w:hideMark/>
          </w:tcPr>
          <w:p w14:paraId="59D35F9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D0662B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n=53</w:t>
            </w:r>
          </w:p>
        </w:tc>
        <w:tc>
          <w:tcPr>
            <w:tcW w:w="0" w:type="auto"/>
            <w:tcBorders>
              <w:top w:val="nil"/>
              <w:left w:val="nil"/>
              <w:bottom w:val="nil"/>
              <w:right w:val="nil"/>
            </w:tcBorders>
            <w:shd w:val="clear" w:color="000000" w:fill="FFFFFF"/>
            <w:noWrap/>
            <w:vAlign w:val="bottom"/>
            <w:hideMark/>
          </w:tcPr>
          <w:p w14:paraId="1906F2C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n=57</w:t>
            </w:r>
          </w:p>
        </w:tc>
        <w:tc>
          <w:tcPr>
            <w:tcW w:w="0" w:type="auto"/>
            <w:tcBorders>
              <w:top w:val="nil"/>
              <w:left w:val="nil"/>
              <w:bottom w:val="nil"/>
              <w:right w:val="nil"/>
            </w:tcBorders>
            <w:shd w:val="clear" w:color="000000" w:fill="FFFFFF"/>
            <w:noWrap/>
            <w:vAlign w:val="bottom"/>
            <w:hideMark/>
          </w:tcPr>
          <w:p w14:paraId="3A9CC1B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AC15CC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n=405</w:t>
            </w:r>
          </w:p>
        </w:tc>
        <w:tc>
          <w:tcPr>
            <w:tcW w:w="0" w:type="auto"/>
            <w:tcBorders>
              <w:top w:val="nil"/>
              <w:left w:val="nil"/>
              <w:bottom w:val="nil"/>
              <w:right w:val="nil"/>
            </w:tcBorders>
            <w:shd w:val="clear" w:color="000000" w:fill="FFFFFF"/>
            <w:noWrap/>
            <w:vAlign w:val="bottom"/>
            <w:hideMark/>
          </w:tcPr>
          <w:p w14:paraId="571043E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n=492</w:t>
            </w:r>
          </w:p>
        </w:tc>
      </w:tr>
      <w:tr w:rsidR="0046372A" w:rsidRPr="0046372A" w14:paraId="536BC2EC" w14:textId="77777777" w:rsidTr="0046372A">
        <w:trPr>
          <w:trHeight w:val="288"/>
        </w:trPr>
        <w:tc>
          <w:tcPr>
            <w:tcW w:w="0" w:type="auto"/>
            <w:tcBorders>
              <w:top w:val="nil"/>
              <w:left w:val="nil"/>
              <w:bottom w:val="nil"/>
              <w:right w:val="nil"/>
            </w:tcBorders>
            <w:shd w:val="clear" w:color="000000" w:fill="FFFFFF"/>
            <w:noWrap/>
            <w:vAlign w:val="bottom"/>
            <w:hideMark/>
          </w:tcPr>
          <w:p w14:paraId="117C2F37" w14:textId="77777777" w:rsidR="00311AB2" w:rsidRPr="00311AB2" w:rsidRDefault="00311AB2" w:rsidP="0046372A">
            <w:pPr>
              <w:spacing w:after="0"/>
              <w:rPr>
                <w:rFonts w:ascii="Calibri" w:eastAsia="Times New Roman" w:hAnsi="Calibri" w:cs="Calibri"/>
                <w:b/>
                <w:bCs/>
                <w:color w:val="000000"/>
                <w:sz w:val="18"/>
                <w:szCs w:val="18"/>
                <w:lang w:val="fr-FR" w:eastAsia="fr-FR"/>
              </w:rPr>
            </w:pPr>
            <w:proofErr w:type="spellStart"/>
            <w:r w:rsidRPr="00311AB2">
              <w:rPr>
                <w:rFonts w:ascii="Calibri" w:eastAsia="Times New Roman" w:hAnsi="Calibri" w:cs="Calibri"/>
                <w:b/>
                <w:bCs/>
                <w:color w:val="000000"/>
                <w:sz w:val="18"/>
                <w:szCs w:val="18"/>
                <w:lang w:val="fr-FR" w:eastAsia="fr-FR"/>
              </w:rPr>
              <w:t>Households</w:t>
            </w:r>
            <w:proofErr w:type="spellEnd"/>
            <w:r w:rsidRPr="00311AB2">
              <w:rPr>
                <w:rFonts w:ascii="Calibri" w:eastAsia="Times New Roman" w:hAnsi="Calibri" w:cs="Calibri"/>
                <w:b/>
                <w:bCs/>
                <w:color w:val="000000"/>
                <w:sz w:val="18"/>
                <w:szCs w:val="18"/>
                <w:lang w:val="fr-FR" w:eastAsia="fr-FR"/>
              </w:rPr>
              <w:t xml:space="preserve"> </w:t>
            </w:r>
            <w:proofErr w:type="spellStart"/>
            <w:r w:rsidRPr="00311AB2">
              <w:rPr>
                <w:rFonts w:ascii="Calibri" w:eastAsia="Times New Roman" w:hAnsi="Calibri" w:cs="Calibri"/>
                <w:b/>
                <w:bCs/>
                <w:color w:val="000000"/>
                <w:sz w:val="18"/>
                <w:szCs w:val="18"/>
                <w:lang w:val="fr-FR" w:eastAsia="fr-FR"/>
              </w:rPr>
              <w:t>characteristics</w:t>
            </w:r>
            <w:proofErr w:type="spellEnd"/>
          </w:p>
        </w:tc>
        <w:tc>
          <w:tcPr>
            <w:tcW w:w="0" w:type="auto"/>
            <w:tcBorders>
              <w:top w:val="nil"/>
              <w:left w:val="nil"/>
              <w:bottom w:val="nil"/>
              <w:right w:val="nil"/>
            </w:tcBorders>
            <w:shd w:val="clear" w:color="000000" w:fill="FFFFFF"/>
            <w:noWrap/>
            <w:vAlign w:val="bottom"/>
            <w:hideMark/>
          </w:tcPr>
          <w:p w14:paraId="642C0607"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7F02B77"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3C01D71"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C364E25"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A60AFF7"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A4B7E5C"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D3B4AEA"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6B5D563"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8C823C3"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110BFCA"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A9A7AF4"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610FA8A7" w14:textId="77777777" w:rsidTr="0046372A">
        <w:trPr>
          <w:trHeight w:val="288"/>
        </w:trPr>
        <w:tc>
          <w:tcPr>
            <w:tcW w:w="0" w:type="auto"/>
            <w:tcBorders>
              <w:top w:val="nil"/>
              <w:left w:val="nil"/>
              <w:bottom w:val="nil"/>
              <w:right w:val="nil"/>
            </w:tcBorders>
            <w:shd w:val="clear" w:color="000000" w:fill="FFFFFF"/>
            <w:noWrap/>
            <w:vAlign w:val="bottom"/>
            <w:hideMark/>
          </w:tcPr>
          <w:p w14:paraId="6821C13B" w14:textId="77777777" w:rsidR="00311AB2" w:rsidRPr="00311AB2" w:rsidRDefault="00311AB2" w:rsidP="0046372A">
            <w:pPr>
              <w:spacing w:after="0"/>
              <w:rPr>
                <w:rFonts w:ascii="Calibri" w:eastAsia="Times New Roman" w:hAnsi="Calibri" w:cs="Calibri"/>
                <w:color w:val="000000"/>
                <w:sz w:val="18"/>
                <w:szCs w:val="18"/>
                <w:lang w:val="fr-FR" w:eastAsia="fr-FR"/>
              </w:rPr>
            </w:pPr>
            <w:proofErr w:type="spellStart"/>
            <w:r w:rsidRPr="00311AB2">
              <w:rPr>
                <w:rFonts w:ascii="Calibri" w:eastAsia="Times New Roman" w:hAnsi="Calibri" w:cs="Calibri"/>
                <w:color w:val="000000"/>
                <w:sz w:val="18"/>
                <w:szCs w:val="18"/>
                <w:lang w:val="fr-FR" w:eastAsia="fr-FR"/>
              </w:rPr>
              <w:lastRenderedPageBreak/>
              <w:t>Household</w:t>
            </w:r>
            <w:proofErr w:type="spellEnd"/>
            <w:r w:rsidRPr="00311AB2">
              <w:rPr>
                <w:rFonts w:ascii="Calibri" w:eastAsia="Times New Roman" w:hAnsi="Calibri" w:cs="Calibri"/>
                <w:color w:val="000000"/>
                <w:sz w:val="18"/>
                <w:szCs w:val="18"/>
                <w:lang w:val="fr-FR" w:eastAsia="fr-FR"/>
              </w:rPr>
              <w:t xml:space="preserve"> size (</w:t>
            </w:r>
            <w:proofErr w:type="spellStart"/>
            <w:r w:rsidRPr="00311AB2">
              <w:rPr>
                <w:rFonts w:ascii="Calibri" w:eastAsia="Times New Roman" w:hAnsi="Calibri" w:cs="Calibri"/>
                <w:color w:val="000000"/>
                <w:sz w:val="18"/>
                <w:szCs w:val="18"/>
                <w:lang w:val="fr-FR" w:eastAsia="fr-FR"/>
              </w:rPr>
              <w:t>mean</w:t>
            </w:r>
            <w:proofErr w:type="spellEnd"/>
            <w:r w:rsidRPr="00311AB2">
              <w:rPr>
                <w:rFonts w:ascii="Calibri" w:eastAsia="Times New Roman" w:hAnsi="Calibri" w:cs="Calibri"/>
                <w:color w:val="000000"/>
                <w:sz w:val="18"/>
                <w:szCs w:val="18"/>
                <w:lang w:val="fr-FR" w:eastAsia="fr-FR"/>
              </w:rPr>
              <w:t>)</w:t>
            </w:r>
          </w:p>
        </w:tc>
        <w:tc>
          <w:tcPr>
            <w:tcW w:w="0" w:type="auto"/>
            <w:tcBorders>
              <w:top w:val="nil"/>
              <w:left w:val="nil"/>
              <w:bottom w:val="nil"/>
              <w:right w:val="nil"/>
            </w:tcBorders>
            <w:shd w:val="clear" w:color="000000" w:fill="FFFFFF"/>
            <w:noWrap/>
            <w:vAlign w:val="bottom"/>
            <w:hideMark/>
          </w:tcPr>
          <w:p w14:paraId="71FEEB0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4.65</w:t>
            </w:r>
          </w:p>
        </w:tc>
        <w:tc>
          <w:tcPr>
            <w:tcW w:w="0" w:type="auto"/>
            <w:tcBorders>
              <w:top w:val="nil"/>
              <w:left w:val="nil"/>
              <w:bottom w:val="nil"/>
              <w:right w:val="nil"/>
            </w:tcBorders>
            <w:shd w:val="clear" w:color="000000" w:fill="FFFFFF"/>
            <w:noWrap/>
            <w:vAlign w:val="bottom"/>
            <w:hideMark/>
          </w:tcPr>
          <w:p w14:paraId="5B8BF37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4.92</w:t>
            </w:r>
          </w:p>
        </w:tc>
        <w:tc>
          <w:tcPr>
            <w:tcW w:w="0" w:type="auto"/>
            <w:tcBorders>
              <w:top w:val="nil"/>
              <w:left w:val="nil"/>
              <w:bottom w:val="nil"/>
              <w:right w:val="nil"/>
            </w:tcBorders>
            <w:shd w:val="clear" w:color="000000" w:fill="FFFFFF"/>
            <w:noWrap/>
            <w:vAlign w:val="bottom"/>
            <w:hideMark/>
          </w:tcPr>
          <w:p w14:paraId="2307060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F7E009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4.67</w:t>
            </w:r>
          </w:p>
        </w:tc>
        <w:tc>
          <w:tcPr>
            <w:tcW w:w="0" w:type="auto"/>
            <w:tcBorders>
              <w:top w:val="nil"/>
              <w:left w:val="nil"/>
              <w:bottom w:val="nil"/>
              <w:right w:val="nil"/>
            </w:tcBorders>
            <w:shd w:val="clear" w:color="000000" w:fill="FFFFFF"/>
            <w:noWrap/>
            <w:vAlign w:val="bottom"/>
            <w:hideMark/>
          </w:tcPr>
          <w:p w14:paraId="7FE8C15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4.58</w:t>
            </w:r>
          </w:p>
        </w:tc>
        <w:tc>
          <w:tcPr>
            <w:tcW w:w="0" w:type="auto"/>
            <w:tcBorders>
              <w:top w:val="nil"/>
              <w:left w:val="nil"/>
              <w:bottom w:val="nil"/>
              <w:right w:val="nil"/>
            </w:tcBorders>
            <w:shd w:val="clear" w:color="000000" w:fill="FFFFFF"/>
            <w:noWrap/>
            <w:vAlign w:val="bottom"/>
            <w:hideMark/>
          </w:tcPr>
          <w:p w14:paraId="1F4D504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40DF72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4.34</w:t>
            </w:r>
          </w:p>
        </w:tc>
        <w:tc>
          <w:tcPr>
            <w:tcW w:w="0" w:type="auto"/>
            <w:tcBorders>
              <w:top w:val="nil"/>
              <w:left w:val="nil"/>
              <w:bottom w:val="nil"/>
              <w:right w:val="nil"/>
            </w:tcBorders>
            <w:shd w:val="clear" w:color="000000" w:fill="FFFFFF"/>
            <w:noWrap/>
            <w:vAlign w:val="bottom"/>
            <w:hideMark/>
          </w:tcPr>
          <w:p w14:paraId="56CE9B6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4.00</w:t>
            </w:r>
          </w:p>
        </w:tc>
        <w:tc>
          <w:tcPr>
            <w:tcW w:w="0" w:type="auto"/>
            <w:tcBorders>
              <w:top w:val="nil"/>
              <w:left w:val="nil"/>
              <w:bottom w:val="nil"/>
              <w:right w:val="nil"/>
            </w:tcBorders>
            <w:shd w:val="clear" w:color="000000" w:fill="FFFFFF"/>
            <w:noWrap/>
            <w:vAlign w:val="bottom"/>
            <w:hideMark/>
          </w:tcPr>
          <w:p w14:paraId="4F2DC14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95C6D0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4.62</w:t>
            </w:r>
          </w:p>
        </w:tc>
        <w:tc>
          <w:tcPr>
            <w:tcW w:w="0" w:type="auto"/>
            <w:tcBorders>
              <w:top w:val="nil"/>
              <w:left w:val="nil"/>
              <w:bottom w:val="nil"/>
              <w:right w:val="nil"/>
            </w:tcBorders>
            <w:shd w:val="clear" w:color="000000" w:fill="FFFFFF"/>
            <w:noWrap/>
            <w:vAlign w:val="bottom"/>
            <w:hideMark/>
          </w:tcPr>
          <w:p w14:paraId="59CE794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4.68</w:t>
            </w:r>
          </w:p>
        </w:tc>
      </w:tr>
      <w:tr w:rsidR="0046372A" w:rsidRPr="0046372A" w14:paraId="21F873EC" w14:textId="77777777" w:rsidTr="0046372A">
        <w:trPr>
          <w:trHeight w:val="288"/>
        </w:trPr>
        <w:tc>
          <w:tcPr>
            <w:tcW w:w="0" w:type="auto"/>
            <w:tcBorders>
              <w:top w:val="nil"/>
              <w:left w:val="nil"/>
              <w:bottom w:val="nil"/>
              <w:right w:val="nil"/>
            </w:tcBorders>
            <w:shd w:val="clear" w:color="000000" w:fill="FFFFFF"/>
            <w:noWrap/>
            <w:vAlign w:val="bottom"/>
            <w:hideMark/>
          </w:tcPr>
          <w:p w14:paraId="30C60548"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House type (%)</w:t>
            </w:r>
          </w:p>
        </w:tc>
        <w:tc>
          <w:tcPr>
            <w:tcW w:w="0" w:type="auto"/>
            <w:tcBorders>
              <w:top w:val="nil"/>
              <w:left w:val="nil"/>
              <w:bottom w:val="nil"/>
              <w:right w:val="nil"/>
            </w:tcBorders>
            <w:shd w:val="clear" w:color="000000" w:fill="FFFFFF"/>
            <w:noWrap/>
            <w:vAlign w:val="bottom"/>
            <w:hideMark/>
          </w:tcPr>
          <w:p w14:paraId="37C5633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A7CEAF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54EA40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4F67C8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F14096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EBA984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76FC09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53D406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9DD2C9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504E0B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72DC55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2B933C59" w14:textId="77777777" w:rsidTr="0046372A">
        <w:trPr>
          <w:trHeight w:val="288"/>
        </w:trPr>
        <w:tc>
          <w:tcPr>
            <w:tcW w:w="0" w:type="auto"/>
            <w:tcBorders>
              <w:top w:val="nil"/>
              <w:left w:val="nil"/>
              <w:bottom w:val="nil"/>
              <w:right w:val="nil"/>
            </w:tcBorders>
            <w:shd w:val="clear" w:color="000000" w:fill="FFFFFF"/>
            <w:noWrap/>
            <w:vAlign w:val="bottom"/>
            <w:hideMark/>
          </w:tcPr>
          <w:p w14:paraId="5383EBFE"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Concrete</w:t>
            </w:r>
            <w:proofErr w:type="spellEnd"/>
            <w:r w:rsidRPr="00311AB2">
              <w:rPr>
                <w:rFonts w:ascii="Calibri" w:eastAsia="Times New Roman" w:hAnsi="Calibri" w:cs="Calibri"/>
                <w:i/>
                <w:iCs/>
                <w:color w:val="000000"/>
                <w:sz w:val="18"/>
                <w:szCs w:val="18"/>
                <w:lang w:val="fr-FR" w:eastAsia="fr-FR"/>
              </w:rPr>
              <w:t xml:space="preserve"> house</w:t>
            </w:r>
          </w:p>
        </w:tc>
        <w:tc>
          <w:tcPr>
            <w:tcW w:w="0" w:type="auto"/>
            <w:tcBorders>
              <w:top w:val="nil"/>
              <w:left w:val="nil"/>
              <w:bottom w:val="nil"/>
              <w:right w:val="nil"/>
            </w:tcBorders>
            <w:shd w:val="clear" w:color="000000" w:fill="FFFFFF"/>
            <w:noWrap/>
            <w:vAlign w:val="bottom"/>
            <w:hideMark/>
          </w:tcPr>
          <w:p w14:paraId="07013F2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54.64</w:t>
            </w:r>
          </w:p>
        </w:tc>
        <w:tc>
          <w:tcPr>
            <w:tcW w:w="0" w:type="auto"/>
            <w:tcBorders>
              <w:top w:val="nil"/>
              <w:left w:val="nil"/>
              <w:bottom w:val="nil"/>
              <w:right w:val="nil"/>
            </w:tcBorders>
            <w:shd w:val="clear" w:color="000000" w:fill="FFFFFF"/>
            <w:noWrap/>
            <w:vAlign w:val="bottom"/>
            <w:hideMark/>
          </w:tcPr>
          <w:p w14:paraId="55E0606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39.83</w:t>
            </w:r>
          </w:p>
        </w:tc>
        <w:tc>
          <w:tcPr>
            <w:tcW w:w="0" w:type="auto"/>
            <w:tcBorders>
              <w:top w:val="nil"/>
              <w:left w:val="nil"/>
              <w:bottom w:val="nil"/>
              <w:right w:val="nil"/>
            </w:tcBorders>
            <w:shd w:val="clear" w:color="000000" w:fill="FFFFFF"/>
            <w:noWrap/>
            <w:vAlign w:val="bottom"/>
            <w:hideMark/>
          </w:tcPr>
          <w:p w14:paraId="1BDF5A3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293A63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72.78</w:t>
            </w:r>
          </w:p>
        </w:tc>
        <w:tc>
          <w:tcPr>
            <w:tcW w:w="0" w:type="auto"/>
            <w:tcBorders>
              <w:top w:val="nil"/>
              <w:left w:val="nil"/>
              <w:bottom w:val="nil"/>
              <w:right w:val="nil"/>
            </w:tcBorders>
            <w:shd w:val="clear" w:color="000000" w:fill="FFFFFF"/>
            <w:noWrap/>
            <w:vAlign w:val="bottom"/>
            <w:hideMark/>
          </w:tcPr>
          <w:p w14:paraId="555BC64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57.79</w:t>
            </w:r>
          </w:p>
        </w:tc>
        <w:tc>
          <w:tcPr>
            <w:tcW w:w="0" w:type="auto"/>
            <w:tcBorders>
              <w:top w:val="nil"/>
              <w:left w:val="nil"/>
              <w:bottom w:val="nil"/>
              <w:right w:val="nil"/>
            </w:tcBorders>
            <w:shd w:val="clear" w:color="000000" w:fill="FFFFFF"/>
            <w:noWrap/>
            <w:vAlign w:val="bottom"/>
            <w:hideMark/>
          </w:tcPr>
          <w:p w14:paraId="3CD32E4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CA3E78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84.91</w:t>
            </w:r>
          </w:p>
        </w:tc>
        <w:tc>
          <w:tcPr>
            <w:tcW w:w="0" w:type="auto"/>
            <w:tcBorders>
              <w:top w:val="nil"/>
              <w:left w:val="nil"/>
              <w:bottom w:val="nil"/>
              <w:right w:val="nil"/>
            </w:tcBorders>
            <w:shd w:val="clear" w:color="000000" w:fill="FFFFFF"/>
            <w:noWrap/>
            <w:vAlign w:val="bottom"/>
            <w:hideMark/>
          </w:tcPr>
          <w:p w14:paraId="06F6490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75.44</w:t>
            </w:r>
          </w:p>
        </w:tc>
        <w:tc>
          <w:tcPr>
            <w:tcW w:w="0" w:type="auto"/>
            <w:tcBorders>
              <w:top w:val="nil"/>
              <w:left w:val="nil"/>
              <w:bottom w:val="nil"/>
              <w:right w:val="nil"/>
            </w:tcBorders>
            <w:shd w:val="clear" w:color="000000" w:fill="FFFFFF"/>
            <w:noWrap/>
            <w:vAlign w:val="bottom"/>
            <w:hideMark/>
          </w:tcPr>
          <w:p w14:paraId="315BD48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AF6049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65.68</w:t>
            </w:r>
          </w:p>
        </w:tc>
        <w:tc>
          <w:tcPr>
            <w:tcW w:w="0" w:type="auto"/>
            <w:tcBorders>
              <w:top w:val="nil"/>
              <w:left w:val="nil"/>
              <w:bottom w:val="nil"/>
              <w:right w:val="nil"/>
            </w:tcBorders>
            <w:shd w:val="clear" w:color="000000" w:fill="FFFFFF"/>
            <w:noWrap/>
            <w:vAlign w:val="bottom"/>
            <w:hideMark/>
          </w:tcPr>
          <w:p w14:paraId="3B1B90E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51.22</w:t>
            </w:r>
          </w:p>
        </w:tc>
      </w:tr>
      <w:tr w:rsidR="0046372A" w:rsidRPr="0046372A" w14:paraId="307B6D49" w14:textId="77777777" w:rsidTr="0046372A">
        <w:trPr>
          <w:trHeight w:val="288"/>
        </w:trPr>
        <w:tc>
          <w:tcPr>
            <w:tcW w:w="0" w:type="auto"/>
            <w:tcBorders>
              <w:top w:val="nil"/>
              <w:left w:val="nil"/>
              <w:bottom w:val="nil"/>
              <w:right w:val="nil"/>
            </w:tcBorders>
            <w:shd w:val="clear" w:color="000000" w:fill="FFFFFF"/>
            <w:noWrap/>
            <w:vAlign w:val="bottom"/>
            <w:hideMark/>
          </w:tcPr>
          <w:p w14:paraId="4A7EE5EB"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Government</w:t>
            </w:r>
            <w:proofErr w:type="spellEnd"/>
            <w:r w:rsidRPr="00311AB2">
              <w:rPr>
                <w:rFonts w:ascii="Calibri" w:eastAsia="Times New Roman" w:hAnsi="Calibri" w:cs="Calibri"/>
                <w:i/>
                <w:iCs/>
                <w:color w:val="000000"/>
                <w:sz w:val="18"/>
                <w:szCs w:val="18"/>
                <w:lang w:val="fr-FR" w:eastAsia="fr-FR"/>
              </w:rPr>
              <w:t xml:space="preserve">/green </w:t>
            </w:r>
            <w:proofErr w:type="spellStart"/>
            <w:r w:rsidRPr="00311AB2">
              <w:rPr>
                <w:rFonts w:ascii="Calibri" w:eastAsia="Times New Roman" w:hAnsi="Calibri" w:cs="Calibri"/>
                <w:i/>
                <w:iCs/>
                <w:color w:val="000000"/>
                <w:sz w:val="18"/>
                <w:szCs w:val="18"/>
                <w:lang w:val="fr-FR" w:eastAsia="fr-FR"/>
              </w:rPr>
              <w:t>hous</w:t>
            </w:r>
            <w:proofErr w:type="spellEnd"/>
          </w:p>
        </w:tc>
        <w:tc>
          <w:tcPr>
            <w:tcW w:w="0" w:type="auto"/>
            <w:tcBorders>
              <w:top w:val="nil"/>
              <w:left w:val="nil"/>
              <w:bottom w:val="nil"/>
              <w:right w:val="nil"/>
            </w:tcBorders>
            <w:shd w:val="clear" w:color="000000" w:fill="FFFFFF"/>
            <w:noWrap/>
            <w:vAlign w:val="bottom"/>
            <w:hideMark/>
          </w:tcPr>
          <w:p w14:paraId="01473C1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17.53</w:t>
            </w:r>
          </w:p>
        </w:tc>
        <w:tc>
          <w:tcPr>
            <w:tcW w:w="0" w:type="auto"/>
            <w:tcBorders>
              <w:top w:val="nil"/>
              <w:left w:val="nil"/>
              <w:bottom w:val="nil"/>
              <w:right w:val="nil"/>
            </w:tcBorders>
            <w:shd w:val="clear" w:color="000000" w:fill="FFFFFF"/>
            <w:noWrap/>
            <w:vAlign w:val="bottom"/>
            <w:hideMark/>
          </w:tcPr>
          <w:p w14:paraId="24D82DE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26.69</w:t>
            </w:r>
          </w:p>
        </w:tc>
        <w:tc>
          <w:tcPr>
            <w:tcW w:w="0" w:type="auto"/>
            <w:tcBorders>
              <w:top w:val="nil"/>
              <w:left w:val="nil"/>
              <w:bottom w:val="nil"/>
              <w:right w:val="nil"/>
            </w:tcBorders>
            <w:shd w:val="clear" w:color="000000" w:fill="FFFFFF"/>
            <w:noWrap/>
            <w:vAlign w:val="bottom"/>
            <w:hideMark/>
          </w:tcPr>
          <w:p w14:paraId="14657C3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45C118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0.63</w:t>
            </w:r>
          </w:p>
        </w:tc>
        <w:tc>
          <w:tcPr>
            <w:tcW w:w="0" w:type="auto"/>
            <w:tcBorders>
              <w:top w:val="nil"/>
              <w:left w:val="nil"/>
              <w:bottom w:val="nil"/>
              <w:right w:val="nil"/>
            </w:tcBorders>
            <w:shd w:val="clear" w:color="000000" w:fill="FFFFFF"/>
            <w:noWrap/>
            <w:vAlign w:val="bottom"/>
            <w:hideMark/>
          </w:tcPr>
          <w:p w14:paraId="2B1956A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10.05</w:t>
            </w:r>
          </w:p>
        </w:tc>
        <w:tc>
          <w:tcPr>
            <w:tcW w:w="0" w:type="auto"/>
            <w:tcBorders>
              <w:top w:val="nil"/>
              <w:left w:val="nil"/>
              <w:bottom w:val="nil"/>
              <w:right w:val="nil"/>
            </w:tcBorders>
            <w:shd w:val="clear" w:color="000000" w:fill="FFFFFF"/>
            <w:noWrap/>
            <w:vAlign w:val="bottom"/>
            <w:hideMark/>
          </w:tcPr>
          <w:p w14:paraId="061EF8E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D3EE9F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1.89</w:t>
            </w:r>
          </w:p>
        </w:tc>
        <w:tc>
          <w:tcPr>
            <w:tcW w:w="0" w:type="auto"/>
            <w:tcBorders>
              <w:top w:val="nil"/>
              <w:left w:val="nil"/>
              <w:bottom w:val="nil"/>
              <w:right w:val="nil"/>
            </w:tcBorders>
            <w:shd w:val="clear" w:color="000000" w:fill="FFFFFF"/>
            <w:noWrap/>
            <w:vAlign w:val="bottom"/>
            <w:hideMark/>
          </w:tcPr>
          <w:p w14:paraId="21A3054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10.53</w:t>
            </w:r>
          </w:p>
        </w:tc>
        <w:tc>
          <w:tcPr>
            <w:tcW w:w="0" w:type="auto"/>
            <w:tcBorders>
              <w:top w:val="nil"/>
              <w:left w:val="nil"/>
              <w:bottom w:val="nil"/>
              <w:right w:val="nil"/>
            </w:tcBorders>
            <w:shd w:val="clear" w:color="000000" w:fill="FFFFFF"/>
            <w:noWrap/>
            <w:vAlign w:val="bottom"/>
            <w:hideMark/>
          </w:tcPr>
          <w:p w14:paraId="060E7B2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496E1B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8.89</w:t>
            </w:r>
          </w:p>
        </w:tc>
        <w:tc>
          <w:tcPr>
            <w:tcW w:w="0" w:type="auto"/>
            <w:tcBorders>
              <w:top w:val="nil"/>
              <w:left w:val="nil"/>
              <w:bottom w:val="nil"/>
              <w:right w:val="nil"/>
            </w:tcBorders>
            <w:shd w:val="clear" w:color="000000" w:fill="FFFFFF"/>
            <w:noWrap/>
            <w:vAlign w:val="bottom"/>
            <w:hideMark/>
          </w:tcPr>
          <w:p w14:paraId="5B5D971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18.09</w:t>
            </w:r>
          </w:p>
        </w:tc>
      </w:tr>
      <w:tr w:rsidR="0046372A" w:rsidRPr="0046372A" w14:paraId="5B6FB06C" w14:textId="77777777" w:rsidTr="0046372A">
        <w:trPr>
          <w:trHeight w:val="288"/>
        </w:trPr>
        <w:tc>
          <w:tcPr>
            <w:tcW w:w="0" w:type="auto"/>
            <w:tcBorders>
              <w:top w:val="nil"/>
              <w:left w:val="nil"/>
              <w:bottom w:val="nil"/>
              <w:right w:val="nil"/>
            </w:tcBorders>
            <w:shd w:val="clear" w:color="000000" w:fill="FFFFFF"/>
            <w:noWrap/>
            <w:vAlign w:val="bottom"/>
            <w:hideMark/>
          </w:tcPr>
          <w:p w14:paraId="0A1C4803"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Thatched</w:t>
            </w:r>
            <w:proofErr w:type="spellEnd"/>
            <w:r w:rsidRPr="00311AB2">
              <w:rPr>
                <w:rFonts w:ascii="Calibri" w:eastAsia="Times New Roman" w:hAnsi="Calibri" w:cs="Calibri"/>
                <w:i/>
                <w:iCs/>
                <w:color w:val="000000"/>
                <w:sz w:val="18"/>
                <w:szCs w:val="18"/>
                <w:lang w:val="fr-FR" w:eastAsia="fr-FR"/>
              </w:rPr>
              <w:t xml:space="preserve"> roof house</w:t>
            </w:r>
          </w:p>
        </w:tc>
        <w:tc>
          <w:tcPr>
            <w:tcW w:w="0" w:type="auto"/>
            <w:tcBorders>
              <w:top w:val="nil"/>
              <w:left w:val="nil"/>
              <w:bottom w:val="nil"/>
              <w:right w:val="nil"/>
            </w:tcBorders>
            <w:shd w:val="clear" w:color="000000" w:fill="FFFFFF"/>
            <w:noWrap/>
            <w:vAlign w:val="bottom"/>
            <w:hideMark/>
          </w:tcPr>
          <w:p w14:paraId="7A03614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27.84</w:t>
            </w:r>
          </w:p>
        </w:tc>
        <w:tc>
          <w:tcPr>
            <w:tcW w:w="0" w:type="auto"/>
            <w:tcBorders>
              <w:top w:val="nil"/>
              <w:left w:val="nil"/>
              <w:bottom w:val="nil"/>
              <w:right w:val="nil"/>
            </w:tcBorders>
            <w:shd w:val="clear" w:color="000000" w:fill="FFFFFF"/>
            <w:noWrap/>
            <w:vAlign w:val="bottom"/>
            <w:hideMark/>
          </w:tcPr>
          <w:p w14:paraId="6EB8820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33.47</w:t>
            </w:r>
          </w:p>
        </w:tc>
        <w:tc>
          <w:tcPr>
            <w:tcW w:w="0" w:type="auto"/>
            <w:tcBorders>
              <w:top w:val="nil"/>
              <w:left w:val="nil"/>
              <w:bottom w:val="nil"/>
              <w:right w:val="nil"/>
            </w:tcBorders>
            <w:shd w:val="clear" w:color="000000" w:fill="FFFFFF"/>
            <w:noWrap/>
            <w:vAlign w:val="bottom"/>
            <w:hideMark/>
          </w:tcPr>
          <w:p w14:paraId="3760B26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3A85F3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26.58</w:t>
            </w:r>
          </w:p>
        </w:tc>
        <w:tc>
          <w:tcPr>
            <w:tcW w:w="0" w:type="auto"/>
            <w:tcBorders>
              <w:top w:val="nil"/>
              <w:left w:val="nil"/>
              <w:bottom w:val="nil"/>
              <w:right w:val="nil"/>
            </w:tcBorders>
            <w:shd w:val="clear" w:color="000000" w:fill="FFFFFF"/>
            <w:noWrap/>
            <w:vAlign w:val="bottom"/>
            <w:hideMark/>
          </w:tcPr>
          <w:p w14:paraId="3D58FC3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32.16</w:t>
            </w:r>
          </w:p>
        </w:tc>
        <w:tc>
          <w:tcPr>
            <w:tcW w:w="0" w:type="auto"/>
            <w:tcBorders>
              <w:top w:val="nil"/>
              <w:left w:val="nil"/>
              <w:bottom w:val="nil"/>
              <w:right w:val="nil"/>
            </w:tcBorders>
            <w:shd w:val="clear" w:color="000000" w:fill="FFFFFF"/>
            <w:noWrap/>
            <w:vAlign w:val="bottom"/>
            <w:hideMark/>
          </w:tcPr>
          <w:p w14:paraId="19CFEDB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8E07B3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13.21</w:t>
            </w:r>
          </w:p>
        </w:tc>
        <w:tc>
          <w:tcPr>
            <w:tcW w:w="0" w:type="auto"/>
            <w:tcBorders>
              <w:top w:val="nil"/>
              <w:left w:val="nil"/>
              <w:bottom w:val="nil"/>
              <w:right w:val="nil"/>
            </w:tcBorders>
            <w:shd w:val="clear" w:color="000000" w:fill="FFFFFF"/>
            <w:noWrap/>
            <w:vAlign w:val="bottom"/>
            <w:hideMark/>
          </w:tcPr>
          <w:p w14:paraId="36E4147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14.04</w:t>
            </w:r>
          </w:p>
        </w:tc>
        <w:tc>
          <w:tcPr>
            <w:tcW w:w="0" w:type="auto"/>
            <w:tcBorders>
              <w:top w:val="nil"/>
              <w:left w:val="nil"/>
              <w:bottom w:val="nil"/>
              <w:right w:val="nil"/>
            </w:tcBorders>
            <w:shd w:val="clear" w:color="000000" w:fill="FFFFFF"/>
            <w:noWrap/>
            <w:vAlign w:val="bottom"/>
            <w:hideMark/>
          </w:tcPr>
          <w:p w14:paraId="66F131F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E17387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25.43</w:t>
            </w:r>
          </w:p>
        </w:tc>
        <w:tc>
          <w:tcPr>
            <w:tcW w:w="0" w:type="auto"/>
            <w:tcBorders>
              <w:top w:val="nil"/>
              <w:left w:val="nil"/>
              <w:bottom w:val="nil"/>
              <w:right w:val="nil"/>
            </w:tcBorders>
            <w:shd w:val="clear" w:color="000000" w:fill="FFFFFF"/>
            <w:noWrap/>
            <w:vAlign w:val="bottom"/>
            <w:hideMark/>
          </w:tcPr>
          <w:p w14:paraId="6BDEBFC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30.69</w:t>
            </w:r>
          </w:p>
        </w:tc>
      </w:tr>
      <w:tr w:rsidR="0046372A" w:rsidRPr="0046372A" w14:paraId="7BB97946" w14:textId="77777777" w:rsidTr="0046372A">
        <w:trPr>
          <w:trHeight w:val="288"/>
        </w:trPr>
        <w:tc>
          <w:tcPr>
            <w:tcW w:w="0" w:type="auto"/>
            <w:tcBorders>
              <w:top w:val="nil"/>
              <w:left w:val="nil"/>
              <w:bottom w:val="nil"/>
              <w:right w:val="nil"/>
            </w:tcBorders>
            <w:shd w:val="clear" w:color="000000" w:fill="FFFFFF"/>
            <w:noWrap/>
            <w:vAlign w:val="bottom"/>
            <w:hideMark/>
          </w:tcPr>
          <w:p w14:paraId="66D00090"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xml:space="preserve">Land </w:t>
            </w:r>
            <w:proofErr w:type="spellStart"/>
            <w:r w:rsidRPr="00311AB2">
              <w:rPr>
                <w:rFonts w:ascii="Calibri" w:eastAsia="Times New Roman" w:hAnsi="Calibri" w:cs="Calibri"/>
                <w:color w:val="000000"/>
                <w:sz w:val="18"/>
                <w:szCs w:val="18"/>
                <w:lang w:val="fr-FR" w:eastAsia="fr-FR"/>
              </w:rPr>
              <w:t>owner</w:t>
            </w:r>
            <w:proofErr w:type="spellEnd"/>
            <w:r w:rsidRPr="00311AB2">
              <w:rPr>
                <w:rFonts w:ascii="Calibri" w:eastAsia="Times New Roman" w:hAnsi="Calibri" w:cs="Calibri"/>
                <w:color w:val="000000"/>
                <w:sz w:val="18"/>
                <w:szCs w:val="18"/>
                <w:lang w:val="fr-FR" w:eastAsia="fr-FR"/>
              </w:rPr>
              <w:t xml:space="preserve"> (%)</w:t>
            </w:r>
          </w:p>
        </w:tc>
        <w:tc>
          <w:tcPr>
            <w:tcW w:w="0" w:type="auto"/>
            <w:tcBorders>
              <w:top w:val="nil"/>
              <w:left w:val="nil"/>
              <w:bottom w:val="nil"/>
              <w:right w:val="nil"/>
            </w:tcBorders>
            <w:shd w:val="clear" w:color="000000" w:fill="FFFFFF"/>
            <w:noWrap/>
            <w:vAlign w:val="bottom"/>
            <w:hideMark/>
          </w:tcPr>
          <w:p w14:paraId="54B292A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41.75</w:t>
            </w:r>
          </w:p>
        </w:tc>
        <w:tc>
          <w:tcPr>
            <w:tcW w:w="0" w:type="auto"/>
            <w:tcBorders>
              <w:top w:val="nil"/>
              <w:left w:val="nil"/>
              <w:bottom w:val="nil"/>
              <w:right w:val="nil"/>
            </w:tcBorders>
            <w:shd w:val="clear" w:color="000000" w:fill="FFFFFF"/>
            <w:noWrap/>
            <w:vAlign w:val="bottom"/>
            <w:hideMark/>
          </w:tcPr>
          <w:p w14:paraId="61B080D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19.92</w:t>
            </w:r>
          </w:p>
        </w:tc>
        <w:tc>
          <w:tcPr>
            <w:tcW w:w="0" w:type="auto"/>
            <w:tcBorders>
              <w:top w:val="nil"/>
              <w:left w:val="nil"/>
              <w:bottom w:val="nil"/>
              <w:right w:val="nil"/>
            </w:tcBorders>
            <w:shd w:val="clear" w:color="000000" w:fill="FFFFFF"/>
            <w:noWrap/>
            <w:vAlign w:val="bottom"/>
            <w:hideMark/>
          </w:tcPr>
          <w:p w14:paraId="4B4C453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8096D1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70.89</w:t>
            </w:r>
          </w:p>
        </w:tc>
        <w:tc>
          <w:tcPr>
            <w:tcW w:w="0" w:type="auto"/>
            <w:tcBorders>
              <w:top w:val="nil"/>
              <w:left w:val="nil"/>
              <w:bottom w:val="nil"/>
              <w:right w:val="nil"/>
            </w:tcBorders>
            <w:shd w:val="clear" w:color="000000" w:fill="FFFFFF"/>
            <w:noWrap/>
            <w:vAlign w:val="bottom"/>
            <w:hideMark/>
          </w:tcPr>
          <w:p w14:paraId="2CABA23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44.22</w:t>
            </w:r>
          </w:p>
        </w:tc>
        <w:tc>
          <w:tcPr>
            <w:tcW w:w="0" w:type="auto"/>
            <w:tcBorders>
              <w:top w:val="nil"/>
              <w:left w:val="nil"/>
              <w:bottom w:val="nil"/>
              <w:right w:val="nil"/>
            </w:tcBorders>
            <w:shd w:val="clear" w:color="000000" w:fill="FFFFFF"/>
            <w:noWrap/>
            <w:vAlign w:val="bottom"/>
            <w:hideMark/>
          </w:tcPr>
          <w:p w14:paraId="4F7BDA8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D7C054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50.94</w:t>
            </w:r>
          </w:p>
        </w:tc>
        <w:tc>
          <w:tcPr>
            <w:tcW w:w="0" w:type="auto"/>
            <w:tcBorders>
              <w:top w:val="nil"/>
              <w:left w:val="nil"/>
              <w:bottom w:val="nil"/>
              <w:right w:val="nil"/>
            </w:tcBorders>
            <w:shd w:val="clear" w:color="000000" w:fill="FFFFFF"/>
            <w:noWrap/>
            <w:vAlign w:val="bottom"/>
            <w:hideMark/>
          </w:tcPr>
          <w:p w14:paraId="79E3352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28.07</w:t>
            </w:r>
          </w:p>
        </w:tc>
        <w:tc>
          <w:tcPr>
            <w:tcW w:w="0" w:type="auto"/>
            <w:tcBorders>
              <w:top w:val="nil"/>
              <w:left w:val="nil"/>
              <w:bottom w:val="nil"/>
              <w:right w:val="nil"/>
            </w:tcBorders>
            <w:shd w:val="clear" w:color="000000" w:fill="FFFFFF"/>
            <w:noWrap/>
            <w:vAlign w:val="bottom"/>
            <w:hideMark/>
          </w:tcPr>
          <w:p w14:paraId="1C7B1A7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9B4416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54.32</w:t>
            </w:r>
          </w:p>
        </w:tc>
        <w:tc>
          <w:tcPr>
            <w:tcW w:w="0" w:type="auto"/>
            <w:tcBorders>
              <w:top w:val="nil"/>
              <w:left w:val="nil"/>
              <w:bottom w:val="nil"/>
              <w:right w:val="nil"/>
            </w:tcBorders>
            <w:shd w:val="clear" w:color="000000" w:fill="FFFFFF"/>
            <w:noWrap/>
            <w:vAlign w:val="bottom"/>
            <w:hideMark/>
          </w:tcPr>
          <w:p w14:paraId="533D8F9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30.69</w:t>
            </w:r>
          </w:p>
        </w:tc>
      </w:tr>
      <w:tr w:rsidR="0046372A" w:rsidRPr="0046372A" w14:paraId="3F383F75" w14:textId="77777777" w:rsidTr="0046372A">
        <w:trPr>
          <w:trHeight w:val="288"/>
        </w:trPr>
        <w:tc>
          <w:tcPr>
            <w:tcW w:w="0" w:type="auto"/>
            <w:tcBorders>
              <w:top w:val="nil"/>
              <w:left w:val="nil"/>
              <w:bottom w:val="nil"/>
              <w:right w:val="nil"/>
            </w:tcBorders>
            <w:shd w:val="clear" w:color="000000" w:fill="FFFFFF"/>
            <w:noWrap/>
            <w:vAlign w:val="bottom"/>
            <w:hideMark/>
          </w:tcPr>
          <w:p w14:paraId="156E7D33"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xml:space="preserve">Size </w:t>
            </w:r>
            <w:proofErr w:type="spellStart"/>
            <w:r w:rsidRPr="00311AB2">
              <w:rPr>
                <w:rFonts w:ascii="Calibri" w:eastAsia="Times New Roman" w:hAnsi="Calibri" w:cs="Calibri"/>
                <w:color w:val="000000"/>
                <w:sz w:val="18"/>
                <w:szCs w:val="18"/>
                <w:lang w:val="fr-FR" w:eastAsia="fr-FR"/>
              </w:rPr>
              <w:t>own</w:t>
            </w:r>
            <w:proofErr w:type="spellEnd"/>
            <w:r w:rsidRPr="00311AB2">
              <w:rPr>
                <w:rFonts w:ascii="Calibri" w:eastAsia="Times New Roman" w:hAnsi="Calibri" w:cs="Calibri"/>
                <w:color w:val="000000"/>
                <w:sz w:val="18"/>
                <w:szCs w:val="18"/>
                <w:lang w:val="fr-FR" w:eastAsia="fr-FR"/>
              </w:rPr>
              <w:t xml:space="preserve"> land (acre)</w:t>
            </w:r>
          </w:p>
        </w:tc>
        <w:tc>
          <w:tcPr>
            <w:tcW w:w="0" w:type="auto"/>
            <w:tcBorders>
              <w:top w:val="nil"/>
              <w:left w:val="nil"/>
              <w:bottom w:val="nil"/>
              <w:right w:val="nil"/>
            </w:tcBorders>
            <w:shd w:val="clear" w:color="000000" w:fill="FFFFFF"/>
            <w:noWrap/>
            <w:vAlign w:val="bottom"/>
            <w:hideMark/>
          </w:tcPr>
          <w:p w14:paraId="4AC5D04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1D47AA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F72355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B75B1F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D39E6C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157AFD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C01D0D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CB61DD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1A4FCA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17E850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DC2A4C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63865650" w14:textId="77777777" w:rsidTr="0046372A">
        <w:trPr>
          <w:trHeight w:val="288"/>
        </w:trPr>
        <w:tc>
          <w:tcPr>
            <w:tcW w:w="0" w:type="auto"/>
            <w:tcBorders>
              <w:top w:val="nil"/>
              <w:left w:val="nil"/>
              <w:bottom w:val="nil"/>
              <w:right w:val="nil"/>
            </w:tcBorders>
            <w:shd w:val="clear" w:color="000000" w:fill="FFFFFF"/>
            <w:noWrap/>
            <w:vAlign w:val="bottom"/>
            <w:hideMark/>
          </w:tcPr>
          <w:p w14:paraId="6BE74B2F"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Mean</w:t>
            </w:r>
            <w:proofErr w:type="spellEnd"/>
          </w:p>
        </w:tc>
        <w:tc>
          <w:tcPr>
            <w:tcW w:w="0" w:type="auto"/>
            <w:tcBorders>
              <w:top w:val="nil"/>
              <w:left w:val="nil"/>
              <w:bottom w:val="nil"/>
              <w:right w:val="nil"/>
            </w:tcBorders>
            <w:shd w:val="clear" w:color="000000" w:fill="FFFFFF"/>
            <w:noWrap/>
            <w:vAlign w:val="bottom"/>
            <w:hideMark/>
          </w:tcPr>
          <w:p w14:paraId="233C488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1.38</w:t>
            </w:r>
          </w:p>
        </w:tc>
        <w:tc>
          <w:tcPr>
            <w:tcW w:w="0" w:type="auto"/>
            <w:tcBorders>
              <w:top w:val="nil"/>
              <w:left w:val="nil"/>
              <w:bottom w:val="nil"/>
              <w:right w:val="nil"/>
            </w:tcBorders>
            <w:shd w:val="clear" w:color="000000" w:fill="FFFFFF"/>
            <w:noWrap/>
            <w:vAlign w:val="bottom"/>
            <w:hideMark/>
          </w:tcPr>
          <w:p w14:paraId="5AB83A7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1.47</w:t>
            </w:r>
          </w:p>
        </w:tc>
        <w:tc>
          <w:tcPr>
            <w:tcW w:w="0" w:type="auto"/>
            <w:tcBorders>
              <w:top w:val="nil"/>
              <w:left w:val="nil"/>
              <w:bottom w:val="nil"/>
              <w:right w:val="nil"/>
            </w:tcBorders>
            <w:shd w:val="clear" w:color="000000" w:fill="FFFFFF"/>
            <w:noWrap/>
            <w:vAlign w:val="bottom"/>
            <w:hideMark/>
          </w:tcPr>
          <w:p w14:paraId="68A6C62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10BF25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2.09</w:t>
            </w:r>
          </w:p>
        </w:tc>
        <w:tc>
          <w:tcPr>
            <w:tcW w:w="0" w:type="auto"/>
            <w:tcBorders>
              <w:top w:val="nil"/>
              <w:left w:val="nil"/>
              <w:bottom w:val="nil"/>
              <w:right w:val="nil"/>
            </w:tcBorders>
            <w:shd w:val="clear" w:color="000000" w:fill="FFFFFF"/>
            <w:noWrap/>
            <w:vAlign w:val="bottom"/>
            <w:hideMark/>
          </w:tcPr>
          <w:p w14:paraId="225C2A2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2.63</w:t>
            </w:r>
          </w:p>
        </w:tc>
        <w:tc>
          <w:tcPr>
            <w:tcW w:w="0" w:type="auto"/>
            <w:tcBorders>
              <w:top w:val="nil"/>
              <w:left w:val="nil"/>
              <w:bottom w:val="nil"/>
              <w:right w:val="nil"/>
            </w:tcBorders>
            <w:shd w:val="clear" w:color="000000" w:fill="FFFFFF"/>
            <w:noWrap/>
            <w:vAlign w:val="bottom"/>
            <w:hideMark/>
          </w:tcPr>
          <w:p w14:paraId="44CAD9E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515B5A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3.43</w:t>
            </w:r>
          </w:p>
        </w:tc>
        <w:tc>
          <w:tcPr>
            <w:tcW w:w="0" w:type="auto"/>
            <w:tcBorders>
              <w:top w:val="nil"/>
              <w:left w:val="nil"/>
              <w:bottom w:val="nil"/>
              <w:right w:val="nil"/>
            </w:tcBorders>
            <w:shd w:val="clear" w:color="000000" w:fill="FFFFFF"/>
            <w:noWrap/>
            <w:vAlign w:val="bottom"/>
            <w:hideMark/>
          </w:tcPr>
          <w:p w14:paraId="1CE5A50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4.65</w:t>
            </w:r>
          </w:p>
        </w:tc>
        <w:tc>
          <w:tcPr>
            <w:tcW w:w="0" w:type="auto"/>
            <w:tcBorders>
              <w:top w:val="nil"/>
              <w:left w:val="nil"/>
              <w:bottom w:val="nil"/>
              <w:right w:val="nil"/>
            </w:tcBorders>
            <w:shd w:val="clear" w:color="000000" w:fill="FFFFFF"/>
            <w:noWrap/>
            <w:vAlign w:val="bottom"/>
            <w:hideMark/>
          </w:tcPr>
          <w:p w14:paraId="30F7BDB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B36626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1.99</w:t>
            </w:r>
          </w:p>
        </w:tc>
        <w:tc>
          <w:tcPr>
            <w:tcW w:w="0" w:type="auto"/>
            <w:tcBorders>
              <w:top w:val="nil"/>
              <w:left w:val="nil"/>
              <w:bottom w:val="nil"/>
              <w:right w:val="nil"/>
            </w:tcBorders>
            <w:shd w:val="clear" w:color="000000" w:fill="FFFFFF"/>
            <w:noWrap/>
            <w:vAlign w:val="bottom"/>
            <w:hideMark/>
          </w:tcPr>
          <w:p w14:paraId="606A27D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2.48</w:t>
            </w:r>
          </w:p>
        </w:tc>
      </w:tr>
      <w:tr w:rsidR="0046372A" w:rsidRPr="0046372A" w14:paraId="668D30AC" w14:textId="77777777" w:rsidTr="0046372A">
        <w:trPr>
          <w:trHeight w:val="288"/>
        </w:trPr>
        <w:tc>
          <w:tcPr>
            <w:tcW w:w="0" w:type="auto"/>
            <w:tcBorders>
              <w:top w:val="nil"/>
              <w:left w:val="nil"/>
              <w:bottom w:val="nil"/>
              <w:right w:val="nil"/>
            </w:tcBorders>
            <w:shd w:val="clear" w:color="000000" w:fill="FFFFFF"/>
            <w:noWrap/>
            <w:vAlign w:val="bottom"/>
            <w:hideMark/>
          </w:tcPr>
          <w:p w14:paraId="33AA2FA7"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SD</w:t>
            </w:r>
          </w:p>
        </w:tc>
        <w:tc>
          <w:tcPr>
            <w:tcW w:w="0" w:type="auto"/>
            <w:tcBorders>
              <w:top w:val="nil"/>
              <w:left w:val="nil"/>
              <w:bottom w:val="nil"/>
              <w:right w:val="nil"/>
            </w:tcBorders>
            <w:shd w:val="clear" w:color="000000" w:fill="FFFFFF"/>
            <w:noWrap/>
            <w:vAlign w:val="bottom"/>
            <w:hideMark/>
          </w:tcPr>
          <w:p w14:paraId="22F2E56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1.03</w:t>
            </w:r>
          </w:p>
        </w:tc>
        <w:tc>
          <w:tcPr>
            <w:tcW w:w="0" w:type="auto"/>
            <w:tcBorders>
              <w:top w:val="nil"/>
              <w:left w:val="nil"/>
              <w:bottom w:val="nil"/>
              <w:right w:val="nil"/>
            </w:tcBorders>
            <w:shd w:val="clear" w:color="000000" w:fill="FFFFFF"/>
            <w:noWrap/>
            <w:vAlign w:val="bottom"/>
            <w:hideMark/>
          </w:tcPr>
          <w:p w14:paraId="5B582C3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1.95</w:t>
            </w:r>
          </w:p>
        </w:tc>
        <w:tc>
          <w:tcPr>
            <w:tcW w:w="0" w:type="auto"/>
            <w:tcBorders>
              <w:top w:val="nil"/>
              <w:left w:val="nil"/>
              <w:bottom w:val="nil"/>
              <w:right w:val="nil"/>
            </w:tcBorders>
            <w:shd w:val="clear" w:color="000000" w:fill="FFFFFF"/>
            <w:noWrap/>
            <w:vAlign w:val="bottom"/>
            <w:hideMark/>
          </w:tcPr>
          <w:p w14:paraId="60A4F47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344A70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1.56</w:t>
            </w:r>
          </w:p>
        </w:tc>
        <w:tc>
          <w:tcPr>
            <w:tcW w:w="0" w:type="auto"/>
            <w:tcBorders>
              <w:top w:val="nil"/>
              <w:left w:val="nil"/>
              <w:bottom w:val="nil"/>
              <w:right w:val="nil"/>
            </w:tcBorders>
            <w:shd w:val="clear" w:color="000000" w:fill="FFFFFF"/>
            <w:noWrap/>
            <w:vAlign w:val="bottom"/>
            <w:hideMark/>
          </w:tcPr>
          <w:p w14:paraId="6BC8407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2.73</w:t>
            </w:r>
          </w:p>
        </w:tc>
        <w:tc>
          <w:tcPr>
            <w:tcW w:w="0" w:type="auto"/>
            <w:tcBorders>
              <w:top w:val="nil"/>
              <w:left w:val="nil"/>
              <w:bottom w:val="nil"/>
              <w:right w:val="nil"/>
            </w:tcBorders>
            <w:shd w:val="clear" w:color="000000" w:fill="FFFFFF"/>
            <w:noWrap/>
            <w:vAlign w:val="bottom"/>
            <w:hideMark/>
          </w:tcPr>
          <w:p w14:paraId="7C5DB9F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2B3530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2.71</w:t>
            </w:r>
          </w:p>
        </w:tc>
        <w:tc>
          <w:tcPr>
            <w:tcW w:w="0" w:type="auto"/>
            <w:tcBorders>
              <w:top w:val="nil"/>
              <w:left w:val="nil"/>
              <w:bottom w:val="nil"/>
              <w:right w:val="nil"/>
            </w:tcBorders>
            <w:shd w:val="clear" w:color="000000" w:fill="FFFFFF"/>
            <w:noWrap/>
            <w:vAlign w:val="bottom"/>
            <w:hideMark/>
          </w:tcPr>
          <w:p w14:paraId="2486075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4.03</w:t>
            </w:r>
          </w:p>
        </w:tc>
        <w:tc>
          <w:tcPr>
            <w:tcW w:w="0" w:type="auto"/>
            <w:tcBorders>
              <w:top w:val="nil"/>
              <w:left w:val="nil"/>
              <w:bottom w:val="nil"/>
              <w:right w:val="nil"/>
            </w:tcBorders>
            <w:shd w:val="clear" w:color="000000" w:fill="FFFFFF"/>
            <w:noWrap/>
            <w:vAlign w:val="bottom"/>
            <w:hideMark/>
          </w:tcPr>
          <w:p w14:paraId="44D48AD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8DF4C1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1.70</w:t>
            </w:r>
          </w:p>
        </w:tc>
        <w:tc>
          <w:tcPr>
            <w:tcW w:w="0" w:type="auto"/>
            <w:tcBorders>
              <w:top w:val="nil"/>
              <w:left w:val="nil"/>
              <w:bottom w:val="nil"/>
              <w:right w:val="nil"/>
            </w:tcBorders>
            <w:shd w:val="clear" w:color="000000" w:fill="FFFFFF"/>
            <w:noWrap/>
            <w:vAlign w:val="bottom"/>
            <w:hideMark/>
          </w:tcPr>
          <w:p w14:paraId="197632F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2.82</w:t>
            </w:r>
          </w:p>
        </w:tc>
      </w:tr>
      <w:tr w:rsidR="0046372A" w:rsidRPr="0046372A" w14:paraId="1ADF00EE" w14:textId="77777777" w:rsidTr="0046372A">
        <w:trPr>
          <w:trHeight w:val="288"/>
        </w:trPr>
        <w:tc>
          <w:tcPr>
            <w:tcW w:w="0" w:type="auto"/>
            <w:tcBorders>
              <w:top w:val="nil"/>
              <w:left w:val="nil"/>
              <w:bottom w:val="nil"/>
              <w:right w:val="nil"/>
            </w:tcBorders>
            <w:shd w:val="clear" w:color="000000" w:fill="FFFFFF"/>
            <w:noWrap/>
            <w:vAlign w:val="bottom"/>
            <w:hideMark/>
          </w:tcPr>
          <w:p w14:paraId="5191309E"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Median</w:t>
            </w:r>
            <w:proofErr w:type="spellEnd"/>
          </w:p>
        </w:tc>
        <w:tc>
          <w:tcPr>
            <w:tcW w:w="0" w:type="auto"/>
            <w:tcBorders>
              <w:top w:val="nil"/>
              <w:left w:val="nil"/>
              <w:bottom w:val="nil"/>
              <w:right w:val="nil"/>
            </w:tcBorders>
            <w:shd w:val="clear" w:color="000000" w:fill="FFFFFF"/>
            <w:noWrap/>
            <w:vAlign w:val="bottom"/>
            <w:hideMark/>
          </w:tcPr>
          <w:p w14:paraId="4A02FA1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1.00</w:t>
            </w:r>
          </w:p>
        </w:tc>
        <w:tc>
          <w:tcPr>
            <w:tcW w:w="0" w:type="auto"/>
            <w:tcBorders>
              <w:top w:val="nil"/>
              <w:left w:val="nil"/>
              <w:bottom w:val="nil"/>
              <w:right w:val="nil"/>
            </w:tcBorders>
            <w:shd w:val="clear" w:color="000000" w:fill="FFFFFF"/>
            <w:noWrap/>
            <w:vAlign w:val="bottom"/>
            <w:hideMark/>
          </w:tcPr>
          <w:p w14:paraId="6F40EBE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1.00</w:t>
            </w:r>
          </w:p>
        </w:tc>
        <w:tc>
          <w:tcPr>
            <w:tcW w:w="0" w:type="auto"/>
            <w:tcBorders>
              <w:top w:val="nil"/>
              <w:left w:val="nil"/>
              <w:bottom w:val="nil"/>
              <w:right w:val="nil"/>
            </w:tcBorders>
            <w:shd w:val="clear" w:color="000000" w:fill="FFFFFF"/>
            <w:noWrap/>
            <w:vAlign w:val="bottom"/>
            <w:hideMark/>
          </w:tcPr>
          <w:p w14:paraId="28A76C9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9FE9F9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2.00</w:t>
            </w:r>
          </w:p>
        </w:tc>
        <w:tc>
          <w:tcPr>
            <w:tcW w:w="0" w:type="auto"/>
            <w:tcBorders>
              <w:top w:val="nil"/>
              <w:left w:val="nil"/>
              <w:bottom w:val="nil"/>
              <w:right w:val="nil"/>
            </w:tcBorders>
            <w:shd w:val="clear" w:color="000000" w:fill="FFFFFF"/>
            <w:noWrap/>
            <w:vAlign w:val="bottom"/>
            <w:hideMark/>
          </w:tcPr>
          <w:p w14:paraId="783C8A6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2.00</w:t>
            </w:r>
          </w:p>
        </w:tc>
        <w:tc>
          <w:tcPr>
            <w:tcW w:w="0" w:type="auto"/>
            <w:tcBorders>
              <w:top w:val="nil"/>
              <w:left w:val="nil"/>
              <w:bottom w:val="nil"/>
              <w:right w:val="nil"/>
            </w:tcBorders>
            <w:shd w:val="clear" w:color="000000" w:fill="FFFFFF"/>
            <w:noWrap/>
            <w:vAlign w:val="bottom"/>
            <w:hideMark/>
          </w:tcPr>
          <w:p w14:paraId="4595FCD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610935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2.00</w:t>
            </w:r>
          </w:p>
        </w:tc>
        <w:tc>
          <w:tcPr>
            <w:tcW w:w="0" w:type="auto"/>
            <w:tcBorders>
              <w:top w:val="nil"/>
              <w:left w:val="nil"/>
              <w:bottom w:val="nil"/>
              <w:right w:val="nil"/>
            </w:tcBorders>
            <w:shd w:val="clear" w:color="000000" w:fill="FFFFFF"/>
            <w:noWrap/>
            <w:vAlign w:val="bottom"/>
            <w:hideMark/>
          </w:tcPr>
          <w:p w14:paraId="64F1AAB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4.78</w:t>
            </w:r>
          </w:p>
        </w:tc>
        <w:tc>
          <w:tcPr>
            <w:tcW w:w="0" w:type="auto"/>
            <w:tcBorders>
              <w:top w:val="nil"/>
              <w:left w:val="nil"/>
              <w:bottom w:val="nil"/>
              <w:right w:val="nil"/>
            </w:tcBorders>
            <w:shd w:val="clear" w:color="000000" w:fill="FFFFFF"/>
            <w:noWrap/>
            <w:vAlign w:val="bottom"/>
            <w:hideMark/>
          </w:tcPr>
          <w:p w14:paraId="262F82E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7BDAFE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1.50</w:t>
            </w:r>
          </w:p>
        </w:tc>
        <w:tc>
          <w:tcPr>
            <w:tcW w:w="0" w:type="auto"/>
            <w:tcBorders>
              <w:top w:val="nil"/>
              <w:left w:val="nil"/>
              <w:bottom w:val="nil"/>
              <w:right w:val="nil"/>
            </w:tcBorders>
            <w:shd w:val="clear" w:color="000000" w:fill="FFFFFF"/>
            <w:noWrap/>
            <w:vAlign w:val="bottom"/>
            <w:hideMark/>
          </w:tcPr>
          <w:p w14:paraId="1311546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1.00</w:t>
            </w:r>
          </w:p>
        </w:tc>
      </w:tr>
      <w:tr w:rsidR="0046372A" w:rsidRPr="0046372A" w14:paraId="704686B4" w14:textId="77777777" w:rsidTr="0046372A">
        <w:trPr>
          <w:trHeight w:val="288"/>
        </w:trPr>
        <w:tc>
          <w:tcPr>
            <w:tcW w:w="0" w:type="auto"/>
            <w:tcBorders>
              <w:top w:val="nil"/>
              <w:left w:val="nil"/>
              <w:bottom w:val="nil"/>
              <w:right w:val="nil"/>
            </w:tcBorders>
            <w:shd w:val="clear" w:color="000000" w:fill="FFFFFF"/>
            <w:noWrap/>
            <w:vAlign w:val="bottom"/>
            <w:hideMark/>
          </w:tcPr>
          <w:p w14:paraId="78336F51" w14:textId="77777777" w:rsidR="00311AB2" w:rsidRPr="00311AB2" w:rsidRDefault="00311AB2" w:rsidP="0046372A">
            <w:pPr>
              <w:spacing w:after="0"/>
              <w:rPr>
                <w:rFonts w:ascii="Calibri" w:eastAsia="Times New Roman" w:hAnsi="Calibri" w:cs="Calibri"/>
                <w:color w:val="000000"/>
                <w:sz w:val="18"/>
                <w:szCs w:val="18"/>
                <w:lang w:val="fr-FR" w:eastAsia="fr-FR"/>
              </w:rPr>
            </w:pPr>
            <w:proofErr w:type="spellStart"/>
            <w:r w:rsidRPr="00311AB2">
              <w:rPr>
                <w:rFonts w:ascii="Calibri" w:eastAsia="Times New Roman" w:hAnsi="Calibri" w:cs="Calibri"/>
                <w:color w:val="000000"/>
                <w:sz w:val="18"/>
                <w:szCs w:val="18"/>
                <w:lang w:val="fr-FR" w:eastAsia="fr-FR"/>
              </w:rPr>
              <w:t>Nber</w:t>
            </w:r>
            <w:proofErr w:type="spellEnd"/>
            <w:r w:rsidRPr="00311AB2">
              <w:rPr>
                <w:rFonts w:ascii="Calibri" w:eastAsia="Times New Roman" w:hAnsi="Calibri" w:cs="Calibri"/>
                <w:color w:val="000000"/>
                <w:sz w:val="18"/>
                <w:szCs w:val="18"/>
                <w:lang w:val="fr-FR" w:eastAsia="fr-FR"/>
              </w:rPr>
              <w:t xml:space="preserve"> </w:t>
            </w:r>
            <w:proofErr w:type="spellStart"/>
            <w:r w:rsidRPr="00311AB2">
              <w:rPr>
                <w:rFonts w:ascii="Calibri" w:eastAsia="Times New Roman" w:hAnsi="Calibri" w:cs="Calibri"/>
                <w:color w:val="000000"/>
                <w:sz w:val="18"/>
                <w:szCs w:val="18"/>
                <w:lang w:val="fr-FR" w:eastAsia="fr-FR"/>
              </w:rPr>
              <w:t>income</w:t>
            </w:r>
            <w:proofErr w:type="spellEnd"/>
            <w:r w:rsidRPr="00311AB2">
              <w:rPr>
                <w:rFonts w:ascii="Calibri" w:eastAsia="Times New Roman" w:hAnsi="Calibri" w:cs="Calibri"/>
                <w:color w:val="000000"/>
                <w:sz w:val="18"/>
                <w:szCs w:val="18"/>
                <w:lang w:val="fr-FR" w:eastAsia="fr-FR"/>
              </w:rPr>
              <w:t xml:space="preserve"> source (</w:t>
            </w:r>
            <w:proofErr w:type="spellStart"/>
            <w:r w:rsidRPr="00311AB2">
              <w:rPr>
                <w:rFonts w:ascii="Calibri" w:eastAsia="Times New Roman" w:hAnsi="Calibri" w:cs="Calibri"/>
                <w:color w:val="000000"/>
                <w:sz w:val="18"/>
                <w:szCs w:val="18"/>
                <w:lang w:val="fr-FR" w:eastAsia="fr-FR"/>
              </w:rPr>
              <w:t>mean</w:t>
            </w:r>
            <w:proofErr w:type="spellEnd"/>
            <w:r w:rsidRPr="00311AB2">
              <w:rPr>
                <w:rFonts w:ascii="Calibri" w:eastAsia="Times New Roman" w:hAnsi="Calibri" w:cs="Calibri"/>
                <w:color w:val="000000"/>
                <w:sz w:val="18"/>
                <w:szCs w:val="18"/>
                <w:lang w:val="fr-FR" w:eastAsia="fr-FR"/>
              </w:rPr>
              <w:t>)</w:t>
            </w:r>
          </w:p>
        </w:tc>
        <w:tc>
          <w:tcPr>
            <w:tcW w:w="0" w:type="auto"/>
            <w:tcBorders>
              <w:top w:val="nil"/>
              <w:left w:val="nil"/>
              <w:bottom w:val="nil"/>
              <w:right w:val="nil"/>
            </w:tcBorders>
            <w:shd w:val="clear" w:color="000000" w:fill="FFFFFF"/>
            <w:noWrap/>
            <w:vAlign w:val="bottom"/>
            <w:hideMark/>
          </w:tcPr>
          <w:p w14:paraId="684273D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3.63</w:t>
            </w:r>
          </w:p>
        </w:tc>
        <w:tc>
          <w:tcPr>
            <w:tcW w:w="0" w:type="auto"/>
            <w:tcBorders>
              <w:top w:val="nil"/>
              <w:left w:val="nil"/>
              <w:bottom w:val="nil"/>
              <w:right w:val="nil"/>
            </w:tcBorders>
            <w:shd w:val="clear" w:color="000000" w:fill="FFFFFF"/>
            <w:noWrap/>
            <w:vAlign w:val="bottom"/>
            <w:hideMark/>
          </w:tcPr>
          <w:p w14:paraId="5863751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4.73</w:t>
            </w:r>
          </w:p>
        </w:tc>
        <w:tc>
          <w:tcPr>
            <w:tcW w:w="0" w:type="auto"/>
            <w:tcBorders>
              <w:top w:val="nil"/>
              <w:left w:val="nil"/>
              <w:bottom w:val="nil"/>
              <w:right w:val="nil"/>
            </w:tcBorders>
            <w:shd w:val="clear" w:color="000000" w:fill="FFFFFF"/>
            <w:noWrap/>
            <w:vAlign w:val="bottom"/>
            <w:hideMark/>
          </w:tcPr>
          <w:p w14:paraId="7A90001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15F910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3.13</w:t>
            </w:r>
          </w:p>
        </w:tc>
        <w:tc>
          <w:tcPr>
            <w:tcW w:w="0" w:type="auto"/>
            <w:tcBorders>
              <w:top w:val="nil"/>
              <w:left w:val="nil"/>
              <w:bottom w:val="nil"/>
              <w:right w:val="nil"/>
            </w:tcBorders>
            <w:shd w:val="clear" w:color="000000" w:fill="FFFFFF"/>
            <w:noWrap/>
            <w:vAlign w:val="bottom"/>
            <w:hideMark/>
          </w:tcPr>
          <w:p w14:paraId="4A4B6EF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4.09</w:t>
            </w:r>
          </w:p>
        </w:tc>
        <w:tc>
          <w:tcPr>
            <w:tcW w:w="0" w:type="auto"/>
            <w:tcBorders>
              <w:top w:val="nil"/>
              <w:left w:val="nil"/>
              <w:bottom w:val="nil"/>
              <w:right w:val="nil"/>
            </w:tcBorders>
            <w:shd w:val="clear" w:color="000000" w:fill="FFFFFF"/>
            <w:noWrap/>
            <w:vAlign w:val="bottom"/>
            <w:hideMark/>
          </w:tcPr>
          <w:p w14:paraId="4AECE72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D6BA36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2.83</w:t>
            </w:r>
          </w:p>
        </w:tc>
        <w:tc>
          <w:tcPr>
            <w:tcW w:w="0" w:type="auto"/>
            <w:tcBorders>
              <w:top w:val="nil"/>
              <w:left w:val="nil"/>
              <w:bottom w:val="nil"/>
              <w:right w:val="nil"/>
            </w:tcBorders>
            <w:shd w:val="clear" w:color="000000" w:fill="FFFFFF"/>
            <w:noWrap/>
            <w:vAlign w:val="bottom"/>
            <w:hideMark/>
          </w:tcPr>
          <w:p w14:paraId="2569362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3.13</w:t>
            </w:r>
          </w:p>
        </w:tc>
        <w:tc>
          <w:tcPr>
            <w:tcW w:w="0" w:type="auto"/>
            <w:tcBorders>
              <w:top w:val="nil"/>
              <w:left w:val="nil"/>
              <w:bottom w:val="nil"/>
              <w:right w:val="nil"/>
            </w:tcBorders>
            <w:shd w:val="clear" w:color="000000" w:fill="FFFFFF"/>
            <w:noWrap/>
            <w:vAlign w:val="bottom"/>
            <w:hideMark/>
          </w:tcPr>
          <w:p w14:paraId="50507BB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AA7291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3.33</w:t>
            </w:r>
          </w:p>
        </w:tc>
        <w:tc>
          <w:tcPr>
            <w:tcW w:w="0" w:type="auto"/>
            <w:tcBorders>
              <w:top w:val="nil"/>
              <w:left w:val="nil"/>
              <w:bottom w:val="nil"/>
              <w:right w:val="nil"/>
            </w:tcBorders>
            <w:shd w:val="clear" w:color="000000" w:fill="FFFFFF"/>
            <w:noWrap/>
            <w:vAlign w:val="bottom"/>
            <w:hideMark/>
          </w:tcPr>
          <w:p w14:paraId="39E0631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4.29</w:t>
            </w:r>
          </w:p>
        </w:tc>
      </w:tr>
      <w:tr w:rsidR="0046372A" w:rsidRPr="0046372A" w14:paraId="2716E148" w14:textId="77777777" w:rsidTr="0046372A">
        <w:trPr>
          <w:trHeight w:val="288"/>
        </w:trPr>
        <w:tc>
          <w:tcPr>
            <w:tcW w:w="0" w:type="auto"/>
            <w:tcBorders>
              <w:top w:val="nil"/>
              <w:left w:val="nil"/>
              <w:bottom w:val="nil"/>
              <w:right w:val="nil"/>
            </w:tcBorders>
            <w:shd w:val="clear" w:color="000000" w:fill="FFFFFF"/>
            <w:noWrap/>
            <w:vAlign w:val="bottom"/>
            <w:hideMark/>
          </w:tcPr>
          <w:p w14:paraId="5CAA9250" w14:textId="77777777" w:rsidR="00311AB2" w:rsidRPr="00311AB2" w:rsidRDefault="00311AB2" w:rsidP="0046372A">
            <w:pPr>
              <w:spacing w:after="0"/>
              <w:rPr>
                <w:rFonts w:ascii="Calibri" w:eastAsia="Times New Roman" w:hAnsi="Calibri" w:cs="Calibri"/>
                <w:color w:val="000000"/>
                <w:sz w:val="18"/>
                <w:szCs w:val="18"/>
                <w:lang w:val="fr-FR" w:eastAsia="fr-FR"/>
              </w:rPr>
            </w:pPr>
            <w:proofErr w:type="spellStart"/>
            <w:r w:rsidRPr="00311AB2">
              <w:rPr>
                <w:rFonts w:ascii="Calibri" w:eastAsia="Times New Roman" w:hAnsi="Calibri" w:cs="Calibri"/>
                <w:color w:val="000000"/>
                <w:sz w:val="18"/>
                <w:szCs w:val="18"/>
                <w:lang w:val="fr-FR" w:eastAsia="fr-FR"/>
              </w:rPr>
              <w:t>Annual</w:t>
            </w:r>
            <w:proofErr w:type="spellEnd"/>
            <w:r w:rsidRPr="00311AB2">
              <w:rPr>
                <w:rFonts w:ascii="Calibri" w:eastAsia="Times New Roman" w:hAnsi="Calibri" w:cs="Calibri"/>
                <w:color w:val="000000"/>
                <w:sz w:val="18"/>
                <w:szCs w:val="18"/>
                <w:lang w:val="fr-FR" w:eastAsia="fr-FR"/>
              </w:rPr>
              <w:t xml:space="preserve"> </w:t>
            </w:r>
            <w:proofErr w:type="spellStart"/>
            <w:r w:rsidRPr="00311AB2">
              <w:rPr>
                <w:rFonts w:ascii="Calibri" w:eastAsia="Times New Roman" w:hAnsi="Calibri" w:cs="Calibri"/>
                <w:color w:val="000000"/>
                <w:sz w:val="18"/>
                <w:szCs w:val="18"/>
                <w:lang w:val="fr-FR" w:eastAsia="fr-FR"/>
              </w:rPr>
              <w:t>income</w:t>
            </w:r>
            <w:proofErr w:type="spellEnd"/>
            <w:r w:rsidRPr="00311AB2">
              <w:rPr>
                <w:rFonts w:ascii="Calibri" w:eastAsia="Times New Roman" w:hAnsi="Calibri" w:cs="Calibri"/>
                <w:color w:val="000000"/>
                <w:sz w:val="18"/>
                <w:szCs w:val="18"/>
                <w:lang w:val="fr-FR" w:eastAsia="fr-FR"/>
              </w:rPr>
              <w:t xml:space="preserve"> (1,000 INR)</w:t>
            </w:r>
          </w:p>
        </w:tc>
        <w:tc>
          <w:tcPr>
            <w:tcW w:w="0" w:type="auto"/>
            <w:tcBorders>
              <w:top w:val="nil"/>
              <w:left w:val="nil"/>
              <w:bottom w:val="nil"/>
              <w:right w:val="nil"/>
            </w:tcBorders>
            <w:shd w:val="clear" w:color="000000" w:fill="FFFFFF"/>
            <w:noWrap/>
            <w:vAlign w:val="bottom"/>
            <w:hideMark/>
          </w:tcPr>
          <w:p w14:paraId="16BBE8B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1DAC22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056B1E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8F2AD3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0EB5AA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0020B7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97FEE1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BDDB1D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2FD261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4ABA3D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7B9344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566E8D83" w14:textId="77777777" w:rsidTr="0046372A">
        <w:trPr>
          <w:trHeight w:val="288"/>
        </w:trPr>
        <w:tc>
          <w:tcPr>
            <w:tcW w:w="0" w:type="auto"/>
            <w:tcBorders>
              <w:top w:val="nil"/>
              <w:left w:val="nil"/>
              <w:bottom w:val="nil"/>
              <w:right w:val="nil"/>
            </w:tcBorders>
            <w:shd w:val="clear" w:color="000000" w:fill="FFFFFF"/>
            <w:noWrap/>
            <w:vAlign w:val="bottom"/>
            <w:hideMark/>
          </w:tcPr>
          <w:p w14:paraId="33CD530F"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Mean</w:t>
            </w:r>
            <w:proofErr w:type="spellEnd"/>
          </w:p>
        </w:tc>
        <w:tc>
          <w:tcPr>
            <w:tcW w:w="0" w:type="auto"/>
            <w:tcBorders>
              <w:top w:val="nil"/>
              <w:left w:val="nil"/>
              <w:bottom w:val="nil"/>
              <w:right w:val="nil"/>
            </w:tcBorders>
            <w:shd w:val="clear" w:color="000000" w:fill="FFFFFF"/>
            <w:noWrap/>
            <w:vAlign w:val="bottom"/>
            <w:hideMark/>
          </w:tcPr>
          <w:p w14:paraId="66F8405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78.75</w:t>
            </w:r>
          </w:p>
        </w:tc>
        <w:tc>
          <w:tcPr>
            <w:tcW w:w="0" w:type="auto"/>
            <w:tcBorders>
              <w:top w:val="nil"/>
              <w:left w:val="nil"/>
              <w:bottom w:val="nil"/>
              <w:right w:val="nil"/>
            </w:tcBorders>
            <w:shd w:val="clear" w:color="000000" w:fill="FFFFFF"/>
            <w:noWrap/>
            <w:vAlign w:val="bottom"/>
            <w:hideMark/>
          </w:tcPr>
          <w:p w14:paraId="5CCA086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111.89</w:t>
            </w:r>
          </w:p>
        </w:tc>
        <w:tc>
          <w:tcPr>
            <w:tcW w:w="0" w:type="auto"/>
            <w:tcBorders>
              <w:top w:val="nil"/>
              <w:left w:val="nil"/>
              <w:bottom w:val="nil"/>
              <w:right w:val="nil"/>
            </w:tcBorders>
            <w:shd w:val="clear" w:color="000000" w:fill="FFFFFF"/>
            <w:noWrap/>
            <w:vAlign w:val="bottom"/>
            <w:hideMark/>
          </w:tcPr>
          <w:p w14:paraId="4DB212D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38A9D4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80.01</w:t>
            </w:r>
          </w:p>
        </w:tc>
        <w:tc>
          <w:tcPr>
            <w:tcW w:w="0" w:type="auto"/>
            <w:tcBorders>
              <w:top w:val="nil"/>
              <w:left w:val="nil"/>
              <w:bottom w:val="nil"/>
              <w:right w:val="nil"/>
            </w:tcBorders>
            <w:shd w:val="clear" w:color="000000" w:fill="FFFFFF"/>
            <w:noWrap/>
            <w:vAlign w:val="bottom"/>
            <w:hideMark/>
          </w:tcPr>
          <w:p w14:paraId="37BF687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118.46</w:t>
            </w:r>
          </w:p>
        </w:tc>
        <w:tc>
          <w:tcPr>
            <w:tcW w:w="0" w:type="auto"/>
            <w:tcBorders>
              <w:top w:val="nil"/>
              <w:left w:val="nil"/>
              <w:bottom w:val="nil"/>
              <w:right w:val="nil"/>
            </w:tcBorders>
            <w:shd w:val="clear" w:color="000000" w:fill="FFFFFF"/>
            <w:noWrap/>
            <w:vAlign w:val="bottom"/>
            <w:hideMark/>
          </w:tcPr>
          <w:p w14:paraId="4518146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7D42FA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94.59</w:t>
            </w:r>
          </w:p>
        </w:tc>
        <w:tc>
          <w:tcPr>
            <w:tcW w:w="0" w:type="auto"/>
            <w:tcBorders>
              <w:top w:val="nil"/>
              <w:left w:val="nil"/>
              <w:bottom w:val="nil"/>
              <w:right w:val="nil"/>
            </w:tcBorders>
            <w:shd w:val="clear" w:color="000000" w:fill="FFFFFF"/>
            <w:noWrap/>
            <w:vAlign w:val="bottom"/>
            <w:hideMark/>
          </w:tcPr>
          <w:p w14:paraId="3233F66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117.27</w:t>
            </w:r>
          </w:p>
        </w:tc>
        <w:tc>
          <w:tcPr>
            <w:tcW w:w="0" w:type="auto"/>
            <w:tcBorders>
              <w:top w:val="nil"/>
              <w:left w:val="nil"/>
              <w:bottom w:val="nil"/>
              <w:right w:val="nil"/>
            </w:tcBorders>
            <w:shd w:val="clear" w:color="000000" w:fill="FFFFFF"/>
            <w:noWrap/>
            <w:vAlign w:val="bottom"/>
            <w:hideMark/>
          </w:tcPr>
          <w:p w14:paraId="0E8088C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40B754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81.31</w:t>
            </w:r>
          </w:p>
        </w:tc>
        <w:tc>
          <w:tcPr>
            <w:tcW w:w="0" w:type="auto"/>
            <w:tcBorders>
              <w:top w:val="nil"/>
              <w:left w:val="nil"/>
              <w:bottom w:val="nil"/>
              <w:right w:val="nil"/>
            </w:tcBorders>
            <w:shd w:val="clear" w:color="000000" w:fill="FFFFFF"/>
            <w:noWrap/>
            <w:vAlign w:val="bottom"/>
            <w:hideMark/>
          </w:tcPr>
          <w:p w14:paraId="769F403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115.17</w:t>
            </w:r>
          </w:p>
        </w:tc>
      </w:tr>
      <w:tr w:rsidR="0046372A" w:rsidRPr="0046372A" w14:paraId="48B0A5DE" w14:textId="77777777" w:rsidTr="0046372A">
        <w:trPr>
          <w:trHeight w:val="288"/>
        </w:trPr>
        <w:tc>
          <w:tcPr>
            <w:tcW w:w="0" w:type="auto"/>
            <w:tcBorders>
              <w:top w:val="nil"/>
              <w:left w:val="nil"/>
              <w:bottom w:val="nil"/>
              <w:right w:val="nil"/>
            </w:tcBorders>
            <w:shd w:val="clear" w:color="000000" w:fill="FFFFFF"/>
            <w:noWrap/>
            <w:vAlign w:val="bottom"/>
            <w:hideMark/>
          </w:tcPr>
          <w:p w14:paraId="6A37C237"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SD</w:t>
            </w:r>
          </w:p>
        </w:tc>
        <w:tc>
          <w:tcPr>
            <w:tcW w:w="0" w:type="auto"/>
            <w:tcBorders>
              <w:top w:val="nil"/>
              <w:left w:val="nil"/>
              <w:bottom w:val="nil"/>
              <w:right w:val="nil"/>
            </w:tcBorders>
            <w:shd w:val="clear" w:color="000000" w:fill="FFFFFF"/>
            <w:noWrap/>
            <w:vAlign w:val="bottom"/>
            <w:hideMark/>
          </w:tcPr>
          <w:p w14:paraId="782299D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54.68</w:t>
            </w:r>
          </w:p>
        </w:tc>
        <w:tc>
          <w:tcPr>
            <w:tcW w:w="0" w:type="auto"/>
            <w:tcBorders>
              <w:top w:val="nil"/>
              <w:left w:val="nil"/>
              <w:bottom w:val="nil"/>
              <w:right w:val="nil"/>
            </w:tcBorders>
            <w:shd w:val="clear" w:color="000000" w:fill="FFFFFF"/>
            <w:noWrap/>
            <w:vAlign w:val="bottom"/>
            <w:hideMark/>
          </w:tcPr>
          <w:p w14:paraId="6274891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210.88</w:t>
            </w:r>
          </w:p>
        </w:tc>
        <w:tc>
          <w:tcPr>
            <w:tcW w:w="0" w:type="auto"/>
            <w:tcBorders>
              <w:top w:val="nil"/>
              <w:left w:val="nil"/>
              <w:bottom w:val="nil"/>
              <w:right w:val="nil"/>
            </w:tcBorders>
            <w:shd w:val="clear" w:color="000000" w:fill="FFFFFF"/>
            <w:noWrap/>
            <w:vAlign w:val="bottom"/>
            <w:hideMark/>
          </w:tcPr>
          <w:p w14:paraId="2BBD572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9C48A4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48.33</w:t>
            </w:r>
          </w:p>
        </w:tc>
        <w:tc>
          <w:tcPr>
            <w:tcW w:w="0" w:type="auto"/>
            <w:tcBorders>
              <w:top w:val="nil"/>
              <w:left w:val="nil"/>
              <w:bottom w:val="nil"/>
              <w:right w:val="nil"/>
            </w:tcBorders>
            <w:shd w:val="clear" w:color="000000" w:fill="FFFFFF"/>
            <w:noWrap/>
            <w:vAlign w:val="bottom"/>
            <w:hideMark/>
          </w:tcPr>
          <w:p w14:paraId="23F9478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137.53</w:t>
            </w:r>
          </w:p>
        </w:tc>
        <w:tc>
          <w:tcPr>
            <w:tcW w:w="0" w:type="auto"/>
            <w:tcBorders>
              <w:top w:val="nil"/>
              <w:left w:val="nil"/>
              <w:bottom w:val="nil"/>
              <w:right w:val="nil"/>
            </w:tcBorders>
            <w:shd w:val="clear" w:color="000000" w:fill="FFFFFF"/>
            <w:noWrap/>
            <w:vAlign w:val="bottom"/>
            <w:hideMark/>
          </w:tcPr>
          <w:p w14:paraId="2D39739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0150DA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100.14</w:t>
            </w:r>
          </w:p>
        </w:tc>
        <w:tc>
          <w:tcPr>
            <w:tcW w:w="0" w:type="auto"/>
            <w:tcBorders>
              <w:top w:val="nil"/>
              <w:left w:val="nil"/>
              <w:bottom w:val="nil"/>
              <w:right w:val="nil"/>
            </w:tcBorders>
            <w:shd w:val="clear" w:color="000000" w:fill="FFFFFF"/>
            <w:noWrap/>
            <w:vAlign w:val="bottom"/>
            <w:hideMark/>
          </w:tcPr>
          <w:p w14:paraId="12B97B5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85.88</w:t>
            </w:r>
          </w:p>
        </w:tc>
        <w:tc>
          <w:tcPr>
            <w:tcW w:w="0" w:type="auto"/>
            <w:tcBorders>
              <w:top w:val="nil"/>
              <w:left w:val="nil"/>
              <w:bottom w:val="nil"/>
              <w:right w:val="nil"/>
            </w:tcBorders>
            <w:shd w:val="clear" w:color="000000" w:fill="FFFFFF"/>
            <w:noWrap/>
            <w:vAlign w:val="bottom"/>
            <w:hideMark/>
          </w:tcPr>
          <w:p w14:paraId="70BC760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9085C0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60.45</w:t>
            </w:r>
          </w:p>
        </w:tc>
        <w:tc>
          <w:tcPr>
            <w:tcW w:w="0" w:type="auto"/>
            <w:tcBorders>
              <w:top w:val="nil"/>
              <w:left w:val="nil"/>
              <w:bottom w:val="nil"/>
              <w:right w:val="nil"/>
            </w:tcBorders>
            <w:shd w:val="clear" w:color="000000" w:fill="FFFFFF"/>
            <w:noWrap/>
            <w:vAlign w:val="bottom"/>
            <w:hideMark/>
          </w:tcPr>
          <w:p w14:paraId="20BE899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172.52</w:t>
            </w:r>
          </w:p>
        </w:tc>
      </w:tr>
      <w:tr w:rsidR="0046372A" w:rsidRPr="0046372A" w14:paraId="63FA5DAC" w14:textId="77777777" w:rsidTr="0046372A">
        <w:trPr>
          <w:trHeight w:val="288"/>
        </w:trPr>
        <w:tc>
          <w:tcPr>
            <w:tcW w:w="0" w:type="auto"/>
            <w:tcBorders>
              <w:top w:val="nil"/>
              <w:left w:val="nil"/>
              <w:bottom w:val="nil"/>
              <w:right w:val="nil"/>
            </w:tcBorders>
            <w:shd w:val="clear" w:color="000000" w:fill="FFFFFF"/>
            <w:noWrap/>
            <w:vAlign w:val="bottom"/>
            <w:hideMark/>
          </w:tcPr>
          <w:p w14:paraId="3BD80AD8"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Median</w:t>
            </w:r>
            <w:proofErr w:type="spellEnd"/>
          </w:p>
        </w:tc>
        <w:tc>
          <w:tcPr>
            <w:tcW w:w="0" w:type="auto"/>
            <w:tcBorders>
              <w:top w:val="nil"/>
              <w:left w:val="nil"/>
              <w:bottom w:val="nil"/>
              <w:right w:val="nil"/>
            </w:tcBorders>
            <w:shd w:val="clear" w:color="000000" w:fill="FFFFFF"/>
            <w:noWrap/>
            <w:vAlign w:val="bottom"/>
            <w:hideMark/>
          </w:tcPr>
          <w:p w14:paraId="6A24C81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66.00</w:t>
            </w:r>
          </w:p>
        </w:tc>
        <w:tc>
          <w:tcPr>
            <w:tcW w:w="0" w:type="auto"/>
            <w:tcBorders>
              <w:top w:val="nil"/>
              <w:left w:val="nil"/>
              <w:bottom w:val="nil"/>
              <w:right w:val="nil"/>
            </w:tcBorders>
            <w:shd w:val="clear" w:color="000000" w:fill="FFFFFF"/>
            <w:noWrap/>
            <w:vAlign w:val="bottom"/>
            <w:hideMark/>
          </w:tcPr>
          <w:p w14:paraId="201D59C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67.74</w:t>
            </w:r>
          </w:p>
        </w:tc>
        <w:tc>
          <w:tcPr>
            <w:tcW w:w="0" w:type="auto"/>
            <w:tcBorders>
              <w:top w:val="nil"/>
              <w:left w:val="nil"/>
              <w:bottom w:val="nil"/>
              <w:right w:val="nil"/>
            </w:tcBorders>
            <w:shd w:val="clear" w:color="000000" w:fill="FFFFFF"/>
            <w:noWrap/>
            <w:vAlign w:val="bottom"/>
            <w:hideMark/>
          </w:tcPr>
          <w:p w14:paraId="210AC47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52015D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70.00</w:t>
            </w:r>
          </w:p>
        </w:tc>
        <w:tc>
          <w:tcPr>
            <w:tcW w:w="0" w:type="auto"/>
            <w:tcBorders>
              <w:top w:val="nil"/>
              <w:left w:val="nil"/>
              <w:bottom w:val="nil"/>
              <w:right w:val="nil"/>
            </w:tcBorders>
            <w:shd w:val="clear" w:color="000000" w:fill="FFFFFF"/>
            <w:noWrap/>
            <w:vAlign w:val="bottom"/>
            <w:hideMark/>
          </w:tcPr>
          <w:p w14:paraId="2AF3E38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82.06</w:t>
            </w:r>
          </w:p>
        </w:tc>
        <w:tc>
          <w:tcPr>
            <w:tcW w:w="0" w:type="auto"/>
            <w:tcBorders>
              <w:top w:val="nil"/>
              <w:left w:val="nil"/>
              <w:bottom w:val="nil"/>
              <w:right w:val="nil"/>
            </w:tcBorders>
            <w:shd w:val="clear" w:color="000000" w:fill="FFFFFF"/>
            <w:noWrap/>
            <w:vAlign w:val="bottom"/>
            <w:hideMark/>
          </w:tcPr>
          <w:p w14:paraId="696C91E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525246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80.00</w:t>
            </w:r>
          </w:p>
        </w:tc>
        <w:tc>
          <w:tcPr>
            <w:tcW w:w="0" w:type="auto"/>
            <w:tcBorders>
              <w:top w:val="nil"/>
              <w:left w:val="nil"/>
              <w:bottom w:val="nil"/>
              <w:right w:val="nil"/>
            </w:tcBorders>
            <w:shd w:val="clear" w:color="000000" w:fill="FFFFFF"/>
            <w:noWrap/>
            <w:vAlign w:val="bottom"/>
            <w:hideMark/>
          </w:tcPr>
          <w:p w14:paraId="7CF3529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102.58</w:t>
            </w:r>
          </w:p>
        </w:tc>
        <w:tc>
          <w:tcPr>
            <w:tcW w:w="0" w:type="auto"/>
            <w:tcBorders>
              <w:top w:val="nil"/>
              <w:left w:val="nil"/>
              <w:bottom w:val="nil"/>
              <w:right w:val="nil"/>
            </w:tcBorders>
            <w:shd w:val="clear" w:color="000000" w:fill="FFFFFF"/>
            <w:noWrap/>
            <w:vAlign w:val="bottom"/>
            <w:hideMark/>
          </w:tcPr>
          <w:p w14:paraId="1DB3973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DBDBDB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68.00</w:t>
            </w:r>
          </w:p>
        </w:tc>
        <w:tc>
          <w:tcPr>
            <w:tcW w:w="0" w:type="auto"/>
            <w:tcBorders>
              <w:top w:val="nil"/>
              <w:left w:val="nil"/>
              <w:bottom w:val="nil"/>
              <w:right w:val="nil"/>
            </w:tcBorders>
            <w:shd w:val="clear" w:color="000000" w:fill="FFFFFF"/>
            <w:noWrap/>
            <w:vAlign w:val="bottom"/>
            <w:hideMark/>
          </w:tcPr>
          <w:p w14:paraId="432455B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77.35</w:t>
            </w:r>
          </w:p>
        </w:tc>
      </w:tr>
      <w:tr w:rsidR="0046372A" w:rsidRPr="0046372A" w14:paraId="06764A42" w14:textId="77777777" w:rsidTr="0046372A">
        <w:trPr>
          <w:trHeight w:val="288"/>
        </w:trPr>
        <w:tc>
          <w:tcPr>
            <w:tcW w:w="0" w:type="auto"/>
            <w:tcBorders>
              <w:top w:val="nil"/>
              <w:left w:val="nil"/>
              <w:bottom w:val="nil"/>
              <w:right w:val="nil"/>
            </w:tcBorders>
            <w:shd w:val="clear" w:color="000000" w:fill="FFFFFF"/>
            <w:noWrap/>
            <w:vAlign w:val="bottom"/>
            <w:hideMark/>
          </w:tcPr>
          <w:p w14:paraId="16E86ECC"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Assets (1,000 INR)</w:t>
            </w:r>
          </w:p>
        </w:tc>
        <w:tc>
          <w:tcPr>
            <w:tcW w:w="0" w:type="auto"/>
            <w:tcBorders>
              <w:top w:val="nil"/>
              <w:left w:val="nil"/>
              <w:bottom w:val="nil"/>
              <w:right w:val="nil"/>
            </w:tcBorders>
            <w:shd w:val="clear" w:color="000000" w:fill="FFFFFF"/>
            <w:noWrap/>
            <w:vAlign w:val="bottom"/>
            <w:hideMark/>
          </w:tcPr>
          <w:p w14:paraId="6DEF3D6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E12B81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F2C012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635DA2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AFE52F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9C0ECC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948404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3D676D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5995BB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761286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557702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6584FD9E" w14:textId="77777777" w:rsidTr="0046372A">
        <w:trPr>
          <w:trHeight w:val="288"/>
        </w:trPr>
        <w:tc>
          <w:tcPr>
            <w:tcW w:w="0" w:type="auto"/>
            <w:tcBorders>
              <w:top w:val="nil"/>
              <w:left w:val="nil"/>
              <w:bottom w:val="nil"/>
              <w:right w:val="nil"/>
            </w:tcBorders>
            <w:shd w:val="clear" w:color="000000" w:fill="FFFFFF"/>
            <w:noWrap/>
            <w:vAlign w:val="bottom"/>
            <w:hideMark/>
          </w:tcPr>
          <w:p w14:paraId="030B8166"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Mean</w:t>
            </w:r>
            <w:proofErr w:type="spellEnd"/>
          </w:p>
        </w:tc>
        <w:tc>
          <w:tcPr>
            <w:tcW w:w="0" w:type="auto"/>
            <w:tcBorders>
              <w:top w:val="nil"/>
              <w:left w:val="nil"/>
              <w:bottom w:val="nil"/>
              <w:right w:val="nil"/>
            </w:tcBorders>
            <w:shd w:val="clear" w:color="000000" w:fill="FFFFFF"/>
            <w:noWrap/>
            <w:vAlign w:val="bottom"/>
            <w:hideMark/>
          </w:tcPr>
          <w:p w14:paraId="6B6FDB1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769.96</w:t>
            </w:r>
          </w:p>
        </w:tc>
        <w:tc>
          <w:tcPr>
            <w:tcW w:w="0" w:type="auto"/>
            <w:tcBorders>
              <w:top w:val="nil"/>
              <w:left w:val="nil"/>
              <w:bottom w:val="nil"/>
              <w:right w:val="nil"/>
            </w:tcBorders>
            <w:shd w:val="clear" w:color="000000" w:fill="FFFFFF"/>
            <w:noWrap/>
            <w:vAlign w:val="bottom"/>
            <w:hideMark/>
          </w:tcPr>
          <w:p w14:paraId="3D35655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351.71</w:t>
            </w:r>
          </w:p>
        </w:tc>
        <w:tc>
          <w:tcPr>
            <w:tcW w:w="0" w:type="auto"/>
            <w:tcBorders>
              <w:top w:val="nil"/>
              <w:left w:val="nil"/>
              <w:bottom w:val="nil"/>
              <w:right w:val="nil"/>
            </w:tcBorders>
            <w:shd w:val="clear" w:color="000000" w:fill="FFFFFF"/>
            <w:noWrap/>
            <w:vAlign w:val="bottom"/>
            <w:hideMark/>
          </w:tcPr>
          <w:p w14:paraId="447E875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51BC7D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1684.66</w:t>
            </w:r>
          </w:p>
        </w:tc>
        <w:tc>
          <w:tcPr>
            <w:tcW w:w="0" w:type="auto"/>
            <w:tcBorders>
              <w:top w:val="nil"/>
              <w:left w:val="nil"/>
              <w:bottom w:val="nil"/>
              <w:right w:val="nil"/>
            </w:tcBorders>
            <w:shd w:val="clear" w:color="000000" w:fill="FFFFFF"/>
            <w:noWrap/>
            <w:vAlign w:val="bottom"/>
            <w:hideMark/>
          </w:tcPr>
          <w:p w14:paraId="55CD45E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1098.31</w:t>
            </w:r>
          </w:p>
        </w:tc>
        <w:tc>
          <w:tcPr>
            <w:tcW w:w="0" w:type="auto"/>
            <w:tcBorders>
              <w:top w:val="nil"/>
              <w:left w:val="nil"/>
              <w:bottom w:val="nil"/>
              <w:right w:val="nil"/>
            </w:tcBorders>
            <w:shd w:val="clear" w:color="000000" w:fill="FFFFFF"/>
            <w:noWrap/>
            <w:vAlign w:val="bottom"/>
            <w:hideMark/>
          </w:tcPr>
          <w:p w14:paraId="3EFFE33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9BBD00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2047.26</w:t>
            </w:r>
          </w:p>
        </w:tc>
        <w:tc>
          <w:tcPr>
            <w:tcW w:w="0" w:type="auto"/>
            <w:tcBorders>
              <w:top w:val="nil"/>
              <w:left w:val="nil"/>
              <w:bottom w:val="nil"/>
              <w:right w:val="nil"/>
            </w:tcBorders>
            <w:shd w:val="clear" w:color="000000" w:fill="FFFFFF"/>
            <w:noWrap/>
            <w:vAlign w:val="bottom"/>
            <w:hideMark/>
          </w:tcPr>
          <w:p w14:paraId="3529693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1267.93</w:t>
            </w:r>
          </w:p>
        </w:tc>
        <w:tc>
          <w:tcPr>
            <w:tcW w:w="0" w:type="auto"/>
            <w:tcBorders>
              <w:top w:val="nil"/>
              <w:left w:val="nil"/>
              <w:bottom w:val="nil"/>
              <w:right w:val="nil"/>
            </w:tcBorders>
            <w:shd w:val="clear" w:color="000000" w:fill="FFFFFF"/>
            <w:noWrap/>
            <w:vAlign w:val="bottom"/>
            <w:hideMark/>
          </w:tcPr>
          <w:p w14:paraId="10B69C2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890717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1293.96</w:t>
            </w:r>
          </w:p>
        </w:tc>
        <w:tc>
          <w:tcPr>
            <w:tcW w:w="0" w:type="auto"/>
            <w:tcBorders>
              <w:top w:val="nil"/>
              <w:left w:val="nil"/>
              <w:bottom w:val="nil"/>
              <w:right w:val="nil"/>
            </w:tcBorders>
            <w:shd w:val="clear" w:color="000000" w:fill="FFFFFF"/>
            <w:noWrap/>
            <w:vAlign w:val="bottom"/>
            <w:hideMark/>
          </w:tcPr>
          <w:p w14:paraId="685D7CA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759.96</w:t>
            </w:r>
          </w:p>
        </w:tc>
      </w:tr>
      <w:tr w:rsidR="0046372A" w:rsidRPr="0046372A" w14:paraId="29CAF31E" w14:textId="77777777" w:rsidTr="0046372A">
        <w:trPr>
          <w:trHeight w:val="288"/>
        </w:trPr>
        <w:tc>
          <w:tcPr>
            <w:tcW w:w="0" w:type="auto"/>
            <w:tcBorders>
              <w:top w:val="nil"/>
              <w:left w:val="nil"/>
              <w:bottom w:val="nil"/>
              <w:right w:val="nil"/>
            </w:tcBorders>
            <w:shd w:val="clear" w:color="000000" w:fill="FFFFFF"/>
            <w:noWrap/>
            <w:vAlign w:val="bottom"/>
            <w:hideMark/>
          </w:tcPr>
          <w:p w14:paraId="3A029182"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SD</w:t>
            </w:r>
          </w:p>
        </w:tc>
        <w:tc>
          <w:tcPr>
            <w:tcW w:w="0" w:type="auto"/>
            <w:tcBorders>
              <w:top w:val="nil"/>
              <w:left w:val="nil"/>
              <w:bottom w:val="nil"/>
              <w:right w:val="nil"/>
            </w:tcBorders>
            <w:shd w:val="clear" w:color="000000" w:fill="FFFFFF"/>
            <w:noWrap/>
            <w:vAlign w:val="bottom"/>
            <w:hideMark/>
          </w:tcPr>
          <w:p w14:paraId="0F94EC6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945.04</w:t>
            </w:r>
          </w:p>
        </w:tc>
        <w:tc>
          <w:tcPr>
            <w:tcW w:w="0" w:type="auto"/>
            <w:tcBorders>
              <w:top w:val="nil"/>
              <w:left w:val="nil"/>
              <w:bottom w:val="nil"/>
              <w:right w:val="nil"/>
            </w:tcBorders>
            <w:shd w:val="clear" w:color="000000" w:fill="FFFFFF"/>
            <w:noWrap/>
            <w:vAlign w:val="bottom"/>
            <w:hideMark/>
          </w:tcPr>
          <w:p w14:paraId="5F3E5D3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674.97</w:t>
            </w:r>
          </w:p>
        </w:tc>
        <w:tc>
          <w:tcPr>
            <w:tcW w:w="0" w:type="auto"/>
            <w:tcBorders>
              <w:top w:val="nil"/>
              <w:left w:val="nil"/>
              <w:bottom w:val="nil"/>
              <w:right w:val="nil"/>
            </w:tcBorders>
            <w:shd w:val="clear" w:color="000000" w:fill="FFFFFF"/>
            <w:noWrap/>
            <w:vAlign w:val="bottom"/>
            <w:hideMark/>
          </w:tcPr>
          <w:p w14:paraId="768B2ED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490035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1613.72</w:t>
            </w:r>
          </w:p>
        </w:tc>
        <w:tc>
          <w:tcPr>
            <w:tcW w:w="0" w:type="auto"/>
            <w:tcBorders>
              <w:top w:val="nil"/>
              <w:left w:val="nil"/>
              <w:bottom w:val="nil"/>
              <w:right w:val="nil"/>
            </w:tcBorders>
            <w:shd w:val="clear" w:color="000000" w:fill="FFFFFF"/>
            <w:noWrap/>
            <w:vAlign w:val="bottom"/>
            <w:hideMark/>
          </w:tcPr>
          <w:p w14:paraId="33DCB40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1866.84</w:t>
            </w:r>
          </w:p>
        </w:tc>
        <w:tc>
          <w:tcPr>
            <w:tcW w:w="0" w:type="auto"/>
            <w:tcBorders>
              <w:top w:val="nil"/>
              <w:left w:val="nil"/>
              <w:bottom w:val="nil"/>
              <w:right w:val="nil"/>
            </w:tcBorders>
            <w:shd w:val="clear" w:color="000000" w:fill="FFFFFF"/>
            <w:noWrap/>
            <w:vAlign w:val="bottom"/>
            <w:hideMark/>
          </w:tcPr>
          <w:p w14:paraId="34F2B2A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DBC892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2728.16</w:t>
            </w:r>
          </w:p>
        </w:tc>
        <w:tc>
          <w:tcPr>
            <w:tcW w:w="0" w:type="auto"/>
            <w:tcBorders>
              <w:top w:val="nil"/>
              <w:left w:val="nil"/>
              <w:bottom w:val="nil"/>
              <w:right w:val="nil"/>
            </w:tcBorders>
            <w:shd w:val="clear" w:color="000000" w:fill="FFFFFF"/>
            <w:noWrap/>
            <w:vAlign w:val="bottom"/>
            <w:hideMark/>
          </w:tcPr>
          <w:p w14:paraId="24E6B13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2002.39</w:t>
            </w:r>
          </w:p>
        </w:tc>
        <w:tc>
          <w:tcPr>
            <w:tcW w:w="0" w:type="auto"/>
            <w:tcBorders>
              <w:top w:val="nil"/>
              <w:left w:val="nil"/>
              <w:bottom w:val="nil"/>
              <w:right w:val="nil"/>
            </w:tcBorders>
            <w:shd w:val="clear" w:color="000000" w:fill="FFFFFF"/>
            <w:noWrap/>
            <w:vAlign w:val="bottom"/>
            <w:hideMark/>
          </w:tcPr>
          <w:p w14:paraId="4129D4E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CD9DC7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1631.76</w:t>
            </w:r>
          </w:p>
        </w:tc>
        <w:tc>
          <w:tcPr>
            <w:tcW w:w="0" w:type="auto"/>
            <w:tcBorders>
              <w:top w:val="nil"/>
              <w:left w:val="nil"/>
              <w:bottom w:val="nil"/>
              <w:right w:val="nil"/>
            </w:tcBorders>
            <w:shd w:val="clear" w:color="000000" w:fill="FFFFFF"/>
            <w:noWrap/>
            <w:vAlign w:val="bottom"/>
            <w:hideMark/>
          </w:tcPr>
          <w:p w14:paraId="4CEC8C3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1495.70</w:t>
            </w:r>
          </w:p>
        </w:tc>
      </w:tr>
      <w:tr w:rsidR="0046372A" w:rsidRPr="0046372A" w14:paraId="20A7E0F3" w14:textId="77777777" w:rsidTr="0046372A">
        <w:trPr>
          <w:trHeight w:val="288"/>
        </w:trPr>
        <w:tc>
          <w:tcPr>
            <w:tcW w:w="0" w:type="auto"/>
            <w:tcBorders>
              <w:top w:val="nil"/>
              <w:left w:val="nil"/>
              <w:bottom w:val="nil"/>
              <w:right w:val="nil"/>
            </w:tcBorders>
            <w:shd w:val="clear" w:color="000000" w:fill="FFFFFF"/>
            <w:noWrap/>
            <w:vAlign w:val="bottom"/>
            <w:hideMark/>
          </w:tcPr>
          <w:p w14:paraId="69DD8C07"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Median</w:t>
            </w:r>
            <w:proofErr w:type="spellEnd"/>
          </w:p>
        </w:tc>
        <w:tc>
          <w:tcPr>
            <w:tcW w:w="0" w:type="auto"/>
            <w:tcBorders>
              <w:top w:val="nil"/>
              <w:left w:val="nil"/>
              <w:bottom w:val="nil"/>
              <w:right w:val="nil"/>
            </w:tcBorders>
            <w:shd w:val="clear" w:color="000000" w:fill="FFFFFF"/>
            <w:noWrap/>
            <w:vAlign w:val="bottom"/>
            <w:hideMark/>
          </w:tcPr>
          <w:p w14:paraId="7351E95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241.00</w:t>
            </w:r>
          </w:p>
        </w:tc>
        <w:tc>
          <w:tcPr>
            <w:tcW w:w="0" w:type="auto"/>
            <w:tcBorders>
              <w:top w:val="nil"/>
              <w:left w:val="nil"/>
              <w:bottom w:val="nil"/>
              <w:right w:val="nil"/>
            </w:tcBorders>
            <w:shd w:val="clear" w:color="000000" w:fill="FFFFFF"/>
            <w:noWrap/>
            <w:vAlign w:val="bottom"/>
            <w:hideMark/>
          </w:tcPr>
          <w:p w14:paraId="2871B80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171.87</w:t>
            </w:r>
          </w:p>
        </w:tc>
        <w:tc>
          <w:tcPr>
            <w:tcW w:w="0" w:type="auto"/>
            <w:tcBorders>
              <w:top w:val="nil"/>
              <w:left w:val="nil"/>
              <w:bottom w:val="nil"/>
              <w:right w:val="nil"/>
            </w:tcBorders>
            <w:shd w:val="clear" w:color="000000" w:fill="FFFFFF"/>
            <w:noWrap/>
            <w:vAlign w:val="bottom"/>
            <w:hideMark/>
          </w:tcPr>
          <w:p w14:paraId="2DAD9D1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87140B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1267.25</w:t>
            </w:r>
          </w:p>
        </w:tc>
        <w:tc>
          <w:tcPr>
            <w:tcW w:w="0" w:type="auto"/>
            <w:tcBorders>
              <w:top w:val="nil"/>
              <w:left w:val="nil"/>
              <w:bottom w:val="nil"/>
              <w:right w:val="nil"/>
            </w:tcBorders>
            <w:shd w:val="clear" w:color="000000" w:fill="FFFFFF"/>
            <w:noWrap/>
            <w:vAlign w:val="bottom"/>
            <w:hideMark/>
          </w:tcPr>
          <w:p w14:paraId="2BCBBA5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434.71</w:t>
            </w:r>
          </w:p>
        </w:tc>
        <w:tc>
          <w:tcPr>
            <w:tcW w:w="0" w:type="auto"/>
            <w:tcBorders>
              <w:top w:val="nil"/>
              <w:left w:val="nil"/>
              <w:bottom w:val="nil"/>
              <w:right w:val="nil"/>
            </w:tcBorders>
            <w:shd w:val="clear" w:color="000000" w:fill="FFFFFF"/>
            <w:noWrap/>
            <w:vAlign w:val="bottom"/>
            <w:hideMark/>
          </w:tcPr>
          <w:p w14:paraId="41B9699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11382B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717.00</w:t>
            </w:r>
          </w:p>
        </w:tc>
        <w:tc>
          <w:tcPr>
            <w:tcW w:w="0" w:type="auto"/>
            <w:tcBorders>
              <w:top w:val="nil"/>
              <w:left w:val="nil"/>
              <w:bottom w:val="nil"/>
              <w:right w:val="nil"/>
            </w:tcBorders>
            <w:shd w:val="clear" w:color="000000" w:fill="FFFFFF"/>
            <w:noWrap/>
            <w:vAlign w:val="bottom"/>
            <w:hideMark/>
          </w:tcPr>
          <w:p w14:paraId="648B8D2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452.26</w:t>
            </w:r>
          </w:p>
        </w:tc>
        <w:tc>
          <w:tcPr>
            <w:tcW w:w="0" w:type="auto"/>
            <w:tcBorders>
              <w:top w:val="nil"/>
              <w:left w:val="nil"/>
              <w:bottom w:val="nil"/>
              <w:right w:val="nil"/>
            </w:tcBorders>
            <w:shd w:val="clear" w:color="000000" w:fill="FFFFFF"/>
            <w:noWrap/>
            <w:vAlign w:val="bottom"/>
            <w:hideMark/>
          </w:tcPr>
          <w:p w14:paraId="58B34B7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162026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701.00</w:t>
            </w:r>
          </w:p>
        </w:tc>
        <w:tc>
          <w:tcPr>
            <w:tcW w:w="0" w:type="auto"/>
            <w:tcBorders>
              <w:top w:val="nil"/>
              <w:left w:val="nil"/>
              <w:bottom w:val="nil"/>
              <w:right w:val="nil"/>
            </w:tcBorders>
            <w:shd w:val="clear" w:color="000000" w:fill="FFFFFF"/>
            <w:noWrap/>
            <w:vAlign w:val="bottom"/>
            <w:hideMark/>
          </w:tcPr>
          <w:p w14:paraId="5803B0F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258.77</w:t>
            </w:r>
          </w:p>
        </w:tc>
      </w:tr>
      <w:tr w:rsidR="0046372A" w:rsidRPr="0046372A" w14:paraId="06ED1BAA" w14:textId="77777777" w:rsidTr="0046372A">
        <w:trPr>
          <w:trHeight w:val="288"/>
        </w:trPr>
        <w:tc>
          <w:tcPr>
            <w:tcW w:w="0" w:type="auto"/>
            <w:tcBorders>
              <w:top w:val="nil"/>
              <w:left w:val="nil"/>
              <w:bottom w:val="nil"/>
              <w:right w:val="nil"/>
            </w:tcBorders>
            <w:shd w:val="clear" w:color="000000" w:fill="FFFFFF"/>
            <w:noWrap/>
            <w:vAlign w:val="bottom"/>
            <w:hideMark/>
          </w:tcPr>
          <w:p w14:paraId="636D841F"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xml:space="preserve">Assets </w:t>
            </w:r>
            <w:proofErr w:type="spellStart"/>
            <w:r w:rsidRPr="00311AB2">
              <w:rPr>
                <w:rFonts w:ascii="Calibri" w:eastAsia="Times New Roman" w:hAnsi="Calibri" w:cs="Calibri"/>
                <w:color w:val="000000"/>
                <w:sz w:val="18"/>
                <w:szCs w:val="18"/>
                <w:lang w:val="fr-FR" w:eastAsia="fr-FR"/>
              </w:rPr>
              <w:t>without</w:t>
            </w:r>
            <w:proofErr w:type="spellEnd"/>
            <w:r w:rsidRPr="00311AB2">
              <w:rPr>
                <w:rFonts w:ascii="Calibri" w:eastAsia="Times New Roman" w:hAnsi="Calibri" w:cs="Calibri"/>
                <w:color w:val="000000"/>
                <w:sz w:val="18"/>
                <w:szCs w:val="18"/>
                <w:lang w:val="fr-FR" w:eastAsia="fr-FR"/>
              </w:rPr>
              <w:t xml:space="preserve"> land (1,000 INR)</w:t>
            </w:r>
          </w:p>
        </w:tc>
        <w:tc>
          <w:tcPr>
            <w:tcW w:w="0" w:type="auto"/>
            <w:tcBorders>
              <w:top w:val="nil"/>
              <w:left w:val="nil"/>
              <w:bottom w:val="nil"/>
              <w:right w:val="nil"/>
            </w:tcBorders>
            <w:shd w:val="clear" w:color="000000" w:fill="FFFFFF"/>
            <w:noWrap/>
            <w:vAlign w:val="bottom"/>
            <w:hideMark/>
          </w:tcPr>
          <w:p w14:paraId="7B727BC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203EF1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BF919C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E5DE27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2C5076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BB8F78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1FC76A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D605CC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4D4FB8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9C2B98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E53FBB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30A7F8B8" w14:textId="77777777" w:rsidTr="0046372A">
        <w:trPr>
          <w:trHeight w:val="288"/>
        </w:trPr>
        <w:tc>
          <w:tcPr>
            <w:tcW w:w="0" w:type="auto"/>
            <w:tcBorders>
              <w:top w:val="nil"/>
              <w:left w:val="nil"/>
              <w:bottom w:val="nil"/>
              <w:right w:val="nil"/>
            </w:tcBorders>
            <w:shd w:val="clear" w:color="000000" w:fill="FFFFFF"/>
            <w:noWrap/>
            <w:vAlign w:val="bottom"/>
            <w:hideMark/>
          </w:tcPr>
          <w:p w14:paraId="514AFD5B"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Mean</w:t>
            </w:r>
            <w:proofErr w:type="spellEnd"/>
          </w:p>
        </w:tc>
        <w:tc>
          <w:tcPr>
            <w:tcW w:w="0" w:type="auto"/>
            <w:tcBorders>
              <w:top w:val="nil"/>
              <w:left w:val="nil"/>
              <w:bottom w:val="nil"/>
              <w:right w:val="nil"/>
            </w:tcBorders>
            <w:shd w:val="clear" w:color="000000" w:fill="FFFFFF"/>
            <w:noWrap/>
            <w:vAlign w:val="bottom"/>
            <w:hideMark/>
          </w:tcPr>
          <w:p w14:paraId="44E6798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196.09</w:t>
            </w:r>
          </w:p>
        </w:tc>
        <w:tc>
          <w:tcPr>
            <w:tcW w:w="0" w:type="auto"/>
            <w:tcBorders>
              <w:top w:val="nil"/>
              <w:left w:val="nil"/>
              <w:bottom w:val="nil"/>
              <w:right w:val="nil"/>
            </w:tcBorders>
            <w:shd w:val="clear" w:color="000000" w:fill="FFFFFF"/>
            <w:noWrap/>
            <w:vAlign w:val="bottom"/>
            <w:hideMark/>
          </w:tcPr>
          <w:p w14:paraId="58D1185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176.89</w:t>
            </w:r>
          </w:p>
        </w:tc>
        <w:tc>
          <w:tcPr>
            <w:tcW w:w="0" w:type="auto"/>
            <w:tcBorders>
              <w:top w:val="nil"/>
              <w:left w:val="nil"/>
              <w:bottom w:val="nil"/>
              <w:right w:val="nil"/>
            </w:tcBorders>
            <w:shd w:val="clear" w:color="000000" w:fill="FFFFFF"/>
            <w:noWrap/>
            <w:vAlign w:val="bottom"/>
            <w:hideMark/>
          </w:tcPr>
          <w:p w14:paraId="689FBBD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2F4FE3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265.24</w:t>
            </w:r>
          </w:p>
        </w:tc>
        <w:tc>
          <w:tcPr>
            <w:tcW w:w="0" w:type="auto"/>
            <w:tcBorders>
              <w:top w:val="nil"/>
              <w:left w:val="nil"/>
              <w:bottom w:val="nil"/>
              <w:right w:val="nil"/>
            </w:tcBorders>
            <w:shd w:val="clear" w:color="000000" w:fill="FFFFFF"/>
            <w:noWrap/>
            <w:vAlign w:val="bottom"/>
            <w:hideMark/>
          </w:tcPr>
          <w:p w14:paraId="1BC9742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362.67</w:t>
            </w:r>
          </w:p>
        </w:tc>
        <w:tc>
          <w:tcPr>
            <w:tcW w:w="0" w:type="auto"/>
            <w:tcBorders>
              <w:top w:val="nil"/>
              <w:left w:val="nil"/>
              <w:bottom w:val="nil"/>
              <w:right w:val="nil"/>
            </w:tcBorders>
            <w:shd w:val="clear" w:color="000000" w:fill="FFFFFF"/>
            <w:noWrap/>
            <w:vAlign w:val="bottom"/>
            <w:hideMark/>
          </w:tcPr>
          <w:p w14:paraId="1A79AC6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8D8842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320.85</w:t>
            </w:r>
          </w:p>
        </w:tc>
        <w:tc>
          <w:tcPr>
            <w:tcW w:w="0" w:type="auto"/>
            <w:tcBorders>
              <w:top w:val="nil"/>
              <w:left w:val="nil"/>
              <w:bottom w:val="nil"/>
              <w:right w:val="nil"/>
            </w:tcBorders>
            <w:shd w:val="clear" w:color="000000" w:fill="FFFFFF"/>
            <w:noWrap/>
            <w:vAlign w:val="bottom"/>
            <w:hideMark/>
          </w:tcPr>
          <w:p w14:paraId="35537D2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452.53</w:t>
            </w:r>
          </w:p>
        </w:tc>
        <w:tc>
          <w:tcPr>
            <w:tcW w:w="0" w:type="auto"/>
            <w:tcBorders>
              <w:top w:val="nil"/>
              <w:left w:val="nil"/>
              <w:bottom w:val="nil"/>
              <w:right w:val="nil"/>
            </w:tcBorders>
            <w:shd w:val="clear" w:color="000000" w:fill="FFFFFF"/>
            <w:noWrap/>
            <w:vAlign w:val="bottom"/>
            <w:hideMark/>
          </w:tcPr>
          <w:p w14:paraId="5EF4191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573EA8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239.40</w:t>
            </w:r>
          </w:p>
        </w:tc>
        <w:tc>
          <w:tcPr>
            <w:tcW w:w="0" w:type="auto"/>
            <w:tcBorders>
              <w:top w:val="nil"/>
              <w:left w:val="nil"/>
              <w:bottom w:val="nil"/>
              <w:right w:val="nil"/>
            </w:tcBorders>
            <w:shd w:val="clear" w:color="000000" w:fill="FFFFFF"/>
            <w:noWrap/>
            <w:vAlign w:val="bottom"/>
            <w:hideMark/>
          </w:tcPr>
          <w:p w14:paraId="5AF97FC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283.97</w:t>
            </w:r>
          </w:p>
        </w:tc>
      </w:tr>
      <w:tr w:rsidR="0046372A" w:rsidRPr="0046372A" w14:paraId="0166BC34" w14:textId="77777777" w:rsidTr="0046372A">
        <w:trPr>
          <w:trHeight w:val="288"/>
        </w:trPr>
        <w:tc>
          <w:tcPr>
            <w:tcW w:w="0" w:type="auto"/>
            <w:tcBorders>
              <w:top w:val="nil"/>
              <w:left w:val="nil"/>
              <w:bottom w:val="nil"/>
              <w:right w:val="nil"/>
            </w:tcBorders>
            <w:shd w:val="clear" w:color="000000" w:fill="FFFFFF"/>
            <w:noWrap/>
            <w:vAlign w:val="bottom"/>
            <w:hideMark/>
          </w:tcPr>
          <w:p w14:paraId="36FD7540"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SD</w:t>
            </w:r>
          </w:p>
        </w:tc>
        <w:tc>
          <w:tcPr>
            <w:tcW w:w="0" w:type="auto"/>
            <w:tcBorders>
              <w:top w:val="nil"/>
              <w:left w:val="nil"/>
              <w:bottom w:val="nil"/>
              <w:right w:val="nil"/>
            </w:tcBorders>
            <w:shd w:val="clear" w:color="000000" w:fill="FFFFFF"/>
            <w:noWrap/>
            <w:vAlign w:val="bottom"/>
            <w:hideMark/>
          </w:tcPr>
          <w:p w14:paraId="3487D9E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108.29</w:t>
            </w:r>
          </w:p>
        </w:tc>
        <w:tc>
          <w:tcPr>
            <w:tcW w:w="0" w:type="auto"/>
            <w:tcBorders>
              <w:top w:val="nil"/>
              <w:left w:val="nil"/>
              <w:bottom w:val="nil"/>
              <w:right w:val="nil"/>
            </w:tcBorders>
            <w:shd w:val="clear" w:color="000000" w:fill="FFFFFF"/>
            <w:noWrap/>
            <w:vAlign w:val="bottom"/>
            <w:hideMark/>
          </w:tcPr>
          <w:p w14:paraId="5ABEB7C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148.34</w:t>
            </w:r>
          </w:p>
        </w:tc>
        <w:tc>
          <w:tcPr>
            <w:tcW w:w="0" w:type="auto"/>
            <w:tcBorders>
              <w:top w:val="nil"/>
              <w:left w:val="nil"/>
              <w:bottom w:val="nil"/>
              <w:right w:val="nil"/>
            </w:tcBorders>
            <w:shd w:val="clear" w:color="000000" w:fill="FFFFFF"/>
            <w:noWrap/>
            <w:vAlign w:val="bottom"/>
            <w:hideMark/>
          </w:tcPr>
          <w:p w14:paraId="619E013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5A2BC8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150.14</w:t>
            </w:r>
          </w:p>
        </w:tc>
        <w:tc>
          <w:tcPr>
            <w:tcW w:w="0" w:type="auto"/>
            <w:tcBorders>
              <w:top w:val="nil"/>
              <w:left w:val="nil"/>
              <w:bottom w:val="nil"/>
              <w:right w:val="nil"/>
            </w:tcBorders>
            <w:shd w:val="clear" w:color="000000" w:fill="FFFFFF"/>
            <w:noWrap/>
            <w:vAlign w:val="bottom"/>
            <w:hideMark/>
          </w:tcPr>
          <w:p w14:paraId="4F28784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559.16</w:t>
            </w:r>
          </w:p>
        </w:tc>
        <w:tc>
          <w:tcPr>
            <w:tcW w:w="0" w:type="auto"/>
            <w:tcBorders>
              <w:top w:val="nil"/>
              <w:left w:val="nil"/>
              <w:bottom w:val="nil"/>
              <w:right w:val="nil"/>
            </w:tcBorders>
            <w:shd w:val="clear" w:color="000000" w:fill="FFFFFF"/>
            <w:noWrap/>
            <w:vAlign w:val="bottom"/>
            <w:hideMark/>
          </w:tcPr>
          <w:p w14:paraId="5E9B8D8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090EA9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162.19</w:t>
            </w:r>
          </w:p>
        </w:tc>
        <w:tc>
          <w:tcPr>
            <w:tcW w:w="0" w:type="auto"/>
            <w:tcBorders>
              <w:top w:val="nil"/>
              <w:left w:val="nil"/>
              <w:bottom w:val="nil"/>
              <w:right w:val="nil"/>
            </w:tcBorders>
            <w:shd w:val="clear" w:color="000000" w:fill="FFFFFF"/>
            <w:noWrap/>
            <w:vAlign w:val="bottom"/>
            <w:hideMark/>
          </w:tcPr>
          <w:p w14:paraId="2284F42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382.75</w:t>
            </w:r>
          </w:p>
        </w:tc>
        <w:tc>
          <w:tcPr>
            <w:tcW w:w="0" w:type="auto"/>
            <w:tcBorders>
              <w:top w:val="nil"/>
              <w:left w:val="nil"/>
              <w:bottom w:val="nil"/>
              <w:right w:val="nil"/>
            </w:tcBorders>
            <w:shd w:val="clear" w:color="000000" w:fill="FFFFFF"/>
            <w:noWrap/>
            <w:vAlign w:val="bottom"/>
            <w:hideMark/>
          </w:tcPr>
          <w:p w14:paraId="61967C3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527345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140.64</w:t>
            </w:r>
          </w:p>
        </w:tc>
        <w:tc>
          <w:tcPr>
            <w:tcW w:w="0" w:type="auto"/>
            <w:tcBorders>
              <w:top w:val="nil"/>
              <w:left w:val="nil"/>
              <w:bottom w:val="nil"/>
              <w:right w:val="nil"/>
            </w:tcBorders>
            <w:shd w:val="clear" w:color="000000" w:fill="FFFFFF"/>
            <w:noWrap/>
            <w:vAlign w:val="bottom"/>
            <w:hideMark/>
          </w:tcPr>
          <w:p w14:paraId="2C101E4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405.76</w:t>
            </w:r>
          </w:p>
        </w:tc>
      </w:tr>
      <w:tr w:rsidR="0046372A" w:rsidRPr="0046372A" w14:paraId="39C9035F" w14:textId="77777777" w:rsidTr="0046372A">
        <w:trPr>
          <w:trHeight w:val="288"/>
        </w:trPr>
        <w:tc>
          <w:tcPr>
            <w:tcW w:w="0" w:type="auto"/>
            <w:tcBorders>
              <w:top w:val="nil"/>
              <w:left w:val="nil"/>
              <w:bottom w:val="nil"/>
              <w:right w:val="nil"/>
            </w:tcBorders>
            <w:shd w:val="clear" w:color="000000" w:fill="FFFFFF"/>
            <w:noWrap/>
            <w:vAlign w:val="bottom"/>
            <w:hideMark/>
          </w:tcPr>
          <w:p w14:paraId="5D4EB6A9"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Median</w:t>
            </w:r>
            <w:proofErr w:type="spellEnd"/>
          </w:p>
        </w:tc>
        <w:tc>
          <w:tcPr>
            <w:tcW w:w="0" w:type="auto"/>
            <w:tcBorders>
              <w:top w:val="nil"/>
              <w:left w:val="nil"/>
              <w:bottom w:val="nil"/>
              <w:right w:val="nil"/>
            </w:tcBorders>
            <w:shd w:val="clear" w:color="000000" w:fill="FFFFFF"/>
            <w:noWrap/>
            <w:vAlign w:val="bottom"/>
            <w:hideMark/>
          </w:tcPr>
          <w:p w14:paraId="2FC24BD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179.00</w:t>
            </w:r>
          </w:p>
        </w:tc>
        <w:tc>
          <w:tcPr>
            <w:tcW w:w="0" w:type="auto"/>
            <w:tcBorders>
              <w:top w:val="nil"/>
              <w:left w:val="nil"/>
              <w:bottom w:val="nil"/>
              <w:right w:val="nil"/>
            </w:tcBorders>
            <w:shd w:val="clear" w:color="000000" w:fill="FFFFFF"/>
            <w:noWrap/>
            <w:vAlign w:val="bottom"/>
            <w:hideMark/>
          </w:tcPr>
          <w:p w14:paraId="4BE418E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147.19</w:t>
            </w:r>
          </w:p>
        </w:tc>
        <w:tc>
          <w:tcPr>
            <w:tcW w:w="0" w:type="auto"/>
            <w:tcBorders>
              <w:top w:val="nil"/>
              <w:left w:val="nil"/>
              <w:bottom w:val="nil"/>
              <w:right w:val="nil"/>
            </w:tcBorders>
            <w:shd w:val="clear" w:color="000000" w:fill="FFFFFF"/>
            <w:noWrap/>
            <w:vAlign w:val="bottom"/>
            <w:hideMark/>
          </w:tcPr>
          <w:p w14:paraId="089C065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4AB5EA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236.50</w:t>
            </w:r>
          </w:p>
        </w:tc>
        <w:tc>
          <w:tcPr>
            <w:tcW w:w="0" w:type="auto"/>
            <w:tcBorders>
              <w:top w:val="nil"/>
              <w:left w:val="nil"/>
              <w:bottom w:val="nil"/>
              <w:right w:val="nil"/>
            </w:tcBorders>
            <w:shd w:val="clear" w:color="000000" w:fill="FFFFFF"/>
            <w:noWrap/>
            <w:vAlign w:val="bottom"/>
            <w:hideMark/>
          </w:tcPr>
          <w:p w14:paraId="1D5B88A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230.13</w:t>
            </w:r>
          </w:p>
        </w:tc>
        <w:tc>
          <w:tcPr>
            <w:tcW w:w="0" w:type="auto"/>
            <w:tcBorders>
              <w:top w:val="nil"/>
              <w:left w:val="nil"/>
              <w:bottom w:val="nil"/>
              <w:right w:val="nil"/>
            </w:tcBorders>
            <w:shd w:val="clear" w:color="000000" w:fill="FFFFFF"/>
            <w:noWrap/>
            <w:vAlign w:val="bottom"/>
            <w:hideMark/>
          </w:tcPr>
          <w:p w14:paraId="5B967A4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6DD1F0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302.00</w:t>
            </w:r>
          </w:p>
        </w:tc>
        <w:tc>
          <w:tcPr>
            <w:tcW w:w="0" w:type="auto"/>
            <w:tcBorders>
              <w:top w:val="nil"/>
              <w:left w:val="nil"/>
              <w:bottom w:val="nil"/>
              <w:right w:val="nil"/>
            </w:tcBorders>
            <w:shd w:val="clear" w:color="000000" w:fill="FFFFFF"/>
            <w:noWrap/>
            <w:vAlign w:val="bottom"/>
            <w:hideMark/>
          </w:tcPr>
          <w:p w14:paraId="5BFC1C5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397.48</w:t>
            </w:r>
          </w:p>
        </w:tc>
        <w:tc>
          <w:tcPr>
            <w:tcW w:w="0" w:type="auto"/>
            <w:tcBorders>
              <w:top w:val="nil"/>
              <w:left w:val="nil"/>
              <w:bottom w:val="nil"/>
              <w:right w:val="nil"/>
            </w:tcBorders>
            <w:shd w:val="clear" w:color="000000" w:fill="FFFFFF"/>
            <w:noWrap/>
            <w:vAlign w:val="bottom"/>
            <w:hideMark/>
          </w:tcPr>
          <w:p w14:paraId="71D83CC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FA06BD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195.50</w:t>
            </w:r>
          </w:p>
        </w:tc>
        <w:tc>
          <w:tcPr>
            <w:tcW w:w="0" w:type="auto"/>
            <w:tcBorders>
              <w:top w:val="nil"/>
              <w:left w:val="nil"/>
              <w:bottom w:val="nil"/>
              <w:right w:val="nil"/>
            </w:tcBorders>
            <w:shd w:val="clear" w:color="000000" w:fill="FFFFFF"/>
            <w:noWrap/>
            <w:vAlign w:val="bottom"/>
            <w:hideMark/>
          </w:tcPr>
          <w:p w14:paraId="1856174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183.00</w:t>
            </w:r>
          </w:p>
        </w:tc>
      </w:tr>
      <w:tr w:rsidR="0046372A" w:rsidRPr="0046372A" w14:paraId="3025A4C4" w14:textId="77777777" w:rsidTr="0046372A">
        <w:trPr>
          <w:trHeight w:val="288"/>
        </w:trPr>
        <w:tc>
          <w:tcPr>
            <w:tcW w:w="0" w:type="auto"/>
            <w:tcBorders>
              <w:top w:val="nil"/>
              <w:left w:val="nil"/>
              <w:bottom w:val="nil"/>
              <w:right w:val="nil"/>
            </w:tcBorders>
            <w:shd w:val="clear" w:color="000000" w:fill="FFFFFF"/>
            <w:noWrap/>
            <w:vAlign w:val="bottom"/>
            <w:hideMark/>
          </w:tcPr>
          <w:p w14:paraId="6F932CE6" w14:textId="77777777" w:rsidR="00311AB2" w:rsidRPr="00311AB2" w:rsidRDefault="00311AB2" w:rsidP="0046372A">
            <w:pPr>
              <w:spacing w:after="0"/>
              <w:rPr>
                <w:rFonts w:ascii="Calibri" w:eastAsia="Times New Roman" w:hAnsi="Calibri" w:cs="Calibri"/>
                <w:b/>
                <w:bCs/>
                <w:color w:val="000000"/>
                <w:sz w:val="18"/>
                <w:szCs w:val="18"/>
                <w:lang w:val="fr-FR" w:eastAsia="fr-FR"/>
              </w:rPr>
            </w:pPr>
            <w:proofErr w:type="spellStart"/>
            <w:r w:rsidRPr="00311AB2">
              <w:rPr>
                <w:rFonts w:ascii="Calibri" w:eastAsia="Times New Roman" w:hAnsi="Calibri" w:cs="Calibri"/>
                <w:b/>
                <w:bCs/>
                <w:color w:val="000000"/>
                <w:sz w:val="18"/>
                <w:szCs w:val="18"/>
                <w:lang w:val="fr-FR" w:eastAsia="fr-FR"/>
              </w:rPr>
              <w:t>Household</w:t>
            </w:r>
            <w:proofErr w:type="spellEnd"/>
            <w:r w:rsidRPr="00311AB2">
              <w:rPr>
                <w:rFonts w:ascii="Calibri" w:eastAsia="Times New Roman" w:hAnsi="Calibri" w:cs="Calibri"/>
                <w:b/>
                <w:bCs/>
                <w:color w:val="000000"/>
                <w:sz w:val="18"/>
                <w:szCs w:val="18"/>
                <w:lang w:val="fr-FR" w:eastAsia="fr-FR"/>
              </w:rPr>
              <w:t xml:space="preserve"> </w:t>
            </w:r>
            <w:proofErr w:type="spellStart"/>
            <w:r w:rsidRPr="00311AB2">
              <w:rPr>
                <w:rFonts w:ascii="Calibri" w:eastAsia="Times New Roman" w:hAnsi="Calibri" w:cs="Calibri"/>
                <w:b/>
                <w:bCs/>
                <w:color w:val="000000"/>
                <w:sz w:val="18"/>
                <w:szCs w:val="18"/>
                <w:lang w:val="fr-FR" w:eastAsia="fr-FR"/>
              </w:rPr>
              <w:t>head</w:t>
            </w:r>
            <w:proofErr w:type="spellEnd"/>
            <w:r w:rsidRPr="00311AB2">
              <w:rPr>
                <w:rFonts w:ascii="Calibri" w:eastAsia="Times New Roman" w:hAnsi="Calibri" w:cs="Calibri"/>
                <w:b/>
                <w:bCs/>
                <w:color w:val="000000"/>
                <w:sz w:val="18"/>
                <w:szCs w:val="18"/>
                <w:lang w:val="fr-FR" w:eastAsia="fr-FR"/>
              </w:rPr>
              <w:t xml:space="preserve"> </w:t>
            </w:r>
            <w:proofErr w:type="spellStart"/>
            <w:r w:rsidRPr="00311AB2">
              <w:rPr>
                <w:rFonts w:ascii="Calibri" w:eastAsia="Times New Roman" w:hAnsi="Calibri" w:cs="Calibri"/>
                <w:b/>
                <w:bCs/>
                <w:color w:val="000000"/>
                <w:sz w:val="18"/>
                <w:szCs w:val="18"/>
                <w:lang w:val="fr-FR" w:eastAsia="fr-FR"/>
              </w:rPr>
              <w:t>characteristics</w:t>
            </w:r>
            <w:proofErr w:type="spellEnd"/>
          </w:p>
        </w:tc>
        <w:tc>
          <w:tcPr>
            <w:tcW w:w="0" w:type="auto"/>
            <w:tcBorders>
              <w:top w:val="nil"/>
              <w:left w:val="nil"/>
              <w:bottom w:val="nil"/>
              <w:right w:val="nil"/>
            </w:tcBorders>
            <w:shd w:val="clear" w:color="000000" w:fill="FFFFFF"/>
            <w:noWrap/>
            <w:vAlign w:val="bottom"/>
            <w:hideMark/>
          </w:tcPr>
          <w:p w14:paraId="7C2E6824"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B5E1F32"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4DF8D38"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F395ED6"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6F7E1C7"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E9D6550"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744759E"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8611A26"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034DEED"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758E9A2"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907ED41"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0DB30502" w14:textId="77777777" w:rsidTr="0046372A">
        <w:trPr>
          <w:trHeight w:val="288"/>
        </w:trPr>
        <w:tc>
          <w:tcPr>
            <w:tcW w:w="0" w:type="auto"/>
            <w:tcBorders>
              <w:top w:val="nil"/>
              <w:left w:val="nil"/>
              <w:bottom w:val="nil"/>
              <w:right w:val="nil"/>
            </w:tcBorders>
            <w:shd w:val="clear" w:color="000000" w:fill="FFFFFF"/>
            <w:noWrap/>
            <w:vAlign w:val="bottom"/>
            <w:hideMark/>
          </w:tcPr>
          <w:p w14:paraId="2F2EB7FD"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Male (%)</w:t>
            </w:r>
          </w:p>
        </w:tc>
        <w:tc>
          <w:tcPr>
            <w:tcW w:w="0" w:type="auto"/>
            <w:tcBorders>
              <w:top w:val="nil"/>
              <w:left w:val="nil"/>
              <w:bottom w:val="nil"/>
              <w:right w:val="nil"/>
            </w:tcBorders>
            <w:shd w:val="clear" w:color="000000" w:fill="FFFFFF"/>
            <w:noWrap/>
            <w:vAlign w:val="bottom"/>
            <w:hideMark/>
          </w:tcPr>
          <w:p w14:paraId="2E55350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91.24</w:t>
            </w:r>
          </w:p>
        </w:tc>
        <w:tc>
          <w:tcPr>
            <w:tcW w:w="0" w:type="auto"/>
            <w:tcBorders>
              <w:top w:val="nil"/>
              <w:left w:val="nil"/>
              <w:bottom w:val="nil"/>
              <w:right w:val="nil"/>
            </w:tcBorders>
            <w:shd w:val="clear" w:color="000000" w:fill="FFFFFF"/>
            <w:noWrap/>
            <w:vAlign w:val="bottom"/>
            <w:hideMark/>
          </w:tcPr>
          <w:p w14:paraId="15DF6E3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89.66</w:t>
            </w:r>
          </w:p>
        </w:tc>
        <w:tc>
          <w:tcPr>
            <w:tcW w:w="0" w:type="auto"/>
            <w:tcBorders>
              <w:top w:val="nil"/>
              <w:left w:val="nil"/>
              <w:bottom w:val="nil"/>
              <w:right w:val="nil"/>
            </w:tcBorders>
            <w:shd w:val="clear" w:color="000000" w:fill="FFFFFF"/>
            <w:noWrap/>
            <w:vAlign w:val="bottom"/>
            <w:hideMark/>
          </w:tcPr>
          <w:p w14:paraId="3794CBD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25CBAF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94.30</w:t>
            </w:r>
          </w:p>
        </w:tc>
        <w:tc>
          <w:tcPr>
            <w:tcW w:w="0" w:type="auto"/>
            <w:tcBorders>
              <w:top w:val="nil"/>
              <w:left w:val="nil"/>
              <w:bottom w:val="nil"/>
              <w:right w:val="nil"/>
            </w:tcBorders>
            <w:shd w:val="clear" w:color="000000" w:fill="FFFFFF"/>
            <w:noWrap/>
            <w:vAlign w:val="bottom"/>
            <w:hideMark/>
          </w:tcPr>
          <w:p w14:paraId="1A7E6B7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93.40</w:t>
            </w:r>
          </w:p>
        </w:tc>
        <w:tc>
          <w:tcPr>
            <w:tcW w:w="0" w:type="auto"/>
            <w:tcBorders>
              <w:top w:val="nil"/>
              <w:left w:val="nil"/>
              <w:bottom w:val="nil"/>
              <w:right w:val="nil"/>
            </w:tcBorders>
            <w:shd w:val="clear" w:color="000000" w:fill="FFFFFF"/>
            <w:noWrap/>
            <w:vAlign w:val="bottom"/>
            <w:hideMark/>
          </w:tcPr>
          <w:p w14:paraId="7EEE12E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E5894E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98.11</w:t>
            </w:r>
          </w:p>
        </w:tc>
        <w:tc>
          <w:tcPr>
            <w:tcW w:w="0" w:type="auto"/>
            <w:tcBorders>
              <w:top w:val="nil"/>
              <w:left w:val="nil"/>
              <w:bottom w:val="nil"/>
              <w:right w:val="nil"/>
            </w:tcBorders>
            <w:shd w:val="clear" w:color="000000" w:fill="FFFFFF"/>
            <w:noWrap/>
            <w:vAlign w:val="bottom"/>
            <w:hideMark/>
          </w:tcPr>
          <w:p w14:paraId="7755C33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96.49</w:t>
            </w:r>
          </w:p>
        </w:tc>
        <w:tc>
          <w:tcPr>
            <w:tcW w:w="0" w:type="auto"/>
            <w:tcBorders>
              <w:top w:val="nil"/>
              <w:left w:val="nil"/>
              <w:bottom w:val="nil"/>
              <w:right w:val="nil"/>
            </w:tcBorders>
            <w:shd w:val="clear" w:color="000000" w:fill="FFFFFF"/>
            <w:noWrap/>
            <w:vAlign w:val="bottom"/>
            <w:hideMark/>
          </w:tcPr>
          <w:p w14:paraId="302F695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5E88CA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93.33</w:t>
            </w:r>
          </w:p>
        </w:tc>
        <w:tc>
          <w:tcPr>
            <w:tcW w:w="0" w:type="auto"/>
            <w:tcBorders>
              <w:top w:val="nil"/>
              <w:left w:val="nil"/>
              <w:bottom w:val="nil"/>
              <w:right w:val="nil"/>
            </w:tcBorders>
            <w:shd w:val="clear" w:color="000000" w:fill="FFFFFF"/>
            <w:noWrap/>
            <w:vAlign w:val="bottom"/>
            <w:hideMark/>
          </w:tcPr>
          <w:p w14:paraId="656924B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91.98</w:t>
            </w:r>
          </w:p>
        </w:tc>
      </w:tr>
      <w:tr w:rsidR="0046372A" w:rsidRPr="0046372A" w14:paraId="7F3411E9" w14:textId="77777777" w:rsidTr="0046372A">
        <w:trPr>
          <w:trHeight w:val="288"/>
        </w:trPr>
        <w:tc>
          <w:tcPr>
            <w:tcW w:w="0" w:type="auto"/>
            <w:tcBorders>
              <w:top w:val="nil"/>
              <w:left w:val="nil"/>
              <w:bottom w:val="nil"/>
              <w:right w:val="nil"/>
            </w:tcBorders>
            <w:shd w:val="clear" w:color="000000" w:fill="FFFFFF"/>
            <w:noWrap/>
            <w:vAlign w:val="bottom"/>
            <w:hideMark/>
          </w:tcPr>
          <w:p w14:paraId="27D3E6DC"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Age (</w:t>
            </w:r>
            <w:proofErr w:type="spellStart"/>
            <w:r w:rsidRPr="00311AB2">
              <w:rPr>
                <w:rFonts w:ascii="Calibri" w:eastAsia="Times New Roman" w:hAnsi="Calibri" w:cs="Calibri"/>
                <w:color w:val="000000"/>
                <w:sz w:val="18"/>
                <w:szCs w:val="18"/>
                <w:lang w:val="fr-FR" w:eastAsia="fr-FR"/>
              </w:rPr>
              <w:t>mean</w:t>
            </w:r>
            <w:proofErr w:type="spellEnd"/>
            <w:r w:rsidRPr="00311AB2">
              <w:rPr>
                <w:rFonts w:ascii="Calibri" w:eastAsia="Times New Roman" w:hAnsi="Calibri" w:cs="Calibri"/>
                <w:color w:val="000000"/>
                <w:sz w:val="18"/>
                <w:szCs w:val="18"/>
                <w:lang w:val="fr-FR" w:eastAsia="fr-FR"/>
              </w:rPr>
              <w:t>)</w:t>
            </w:r>
          </w:p>
        </w:tc>
        <w:tc>
          <w:tcPr>
            <w:tcW w:w="0" w:type="auto"/>
            <w:tcBorders>
              <w:top w:val="nil"/>
              <w:left w:val="nil"/>
              <w:bottom w:val="nil"/>
              <w:right w:val="nil"/>
            </w:tcBorders>
            <w:shd w:val="clear" w:color="000000" w:fill="FFFFFF"/>
            <w:noWrap/>
            <w:vAlign w:val="bottom"/>
            <w:hideMark/>
          </w:tcPr>
          <w:p w14:paraId="074C443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46.71</w:t>
            </w:r>
          </w:p>
        </w:tc>
        <w:tc>
          <w:tcPr>
            <w:tcW w:w="0" w:type="auto"/>
            <w:tcBorders>
              <w:top w:val="nil"/>
              <w:left w:val="nil"/>
              <w:bottom w:val="nil"/>
              <w:right w:val="nil"/>
            </w:tcBorders>
            <w:shd w:val="clear" w:color="000000" w:fill="FFFFFF"/>
            <w:noWrap/>
            <w:vAlign w:val="bottom"/>
            <w:hideMark/>
          </w:tcPr>
          <w:p w14:paraId="13E0BD1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50.38</w:t>
            </w:r>
          </w:p>
        </w:tc>
        <w:tc>
          <w:tcPr>
            <w:tcW w:w="0" w:type="auto"/>
            <w:tcBorders>
              <w:top w:val="nil"/>
              <w:left w:val="nil"/>
              <w:bottom w:val="nil"/>
              <w:right w:val="nil"/>
            </w:tcBorders>
            <w:shd w:val="clear" w:color="000000" w:fill="FFFFFF"/>
            <w:noWrap/>
            <w:vAlign w:val="bottom"/>
            <w:hideMark/>
          </w:tcPr>
          <w:p w14:paraId="2FC37C3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98127C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48.16</w:t>
            </w:r>
          </w:p>
        </w:tc>
        <w:tc>
          <w:tcPr>
            <w:tcW w:w="0" w:type="auto"/>
            <w:tcBorders>
              <w:top w:val="nil"/>
              <w:left w:val="nil"/>
              <w:bottom w:val="nil"/>
              <w:right w:val="nil"/>
            </w:tcBorders>
            <w:shd w:val="clear" w:color="000000" w:fill="FFFFFF"/>
            <w:noWrap/>
            <w:vAlign w:val="bottom"/>
            <w:hideMark/>
          </w:tcPr>
          <w:p w14:paraId="6AE05A1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52.01</w:t>
            </w:r>
          </w:p>
        </w:tc>
        <w:tc>
          <w:tcPr>
            <w:tcW w:w="0" w:type="auto"/>
            <w:tcBorders>
              <w:top w:val="nil"/>
              <w:left w:val="nil"/>
              <w:bottom w:val="nil"/>
              <w:right w:val="nil"/>
            </w:tcBorders>
            <w:shd w:val="clear" w:color="000000" w:fill="FFFFFF"/>
            <w:noWrap/>
            <w:vAlign w:val="bottom"/>
            <w:hideMark/>
          </w:tcPr>
          <w:p w14:paraId="3BEDA30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694796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51.77</w:t>
            </w:r>
          </w:p>
        </w:tc>
        <w:tc>
          <w:tcPr>
            <w:tcW w:w="0" w:type="auto"/>
            <w:tcBorders>
              <w:top w:val="nil"/>
              <w:left w:val="nil"/>
              <w:bottom w:val="nil"/>
              <w:right w:val="nil"/>
            </w:tcBorders>
            <w:shd w:val="clear" w:color="000000" w:fill="FFFFFF"/>
            <w:noWrap/>
            <w:vAlign w:val="bottom"/>
            <w:hideMark/>
          </w:tcPr>
          <w:p w14:paraId="2901EB7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55.67</w:t>
            </w:r>
          </w:p>
        </w:tc>
        <w:tc>
          <w:tcPr>
            <w:tcW w:w="0" w:type="auto"/>
            <w:tcBorders>
              <w:top w:val="nil"/>
              <w:left w:val="nil"/>
              <w:bottom w:val="nil"/>
              <w:right w:val="nil"/>
            </w:tcBorders>
            <w:shd w:val="clear" w:color="000000" w:fill="FFFFFF"/>
            <w:noWrap/>
            <w:vAlign w:val="bottom"/>
            <w:hideMark/>
          </w:tcPr>
          <w:p w14:paraId="49B2EA8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FDD178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47.94</w:t>
            </w:r>
          </w:p>
        </w:tc>
        <w:tc>
          <w:tcPr>
            <w:tcW w:w="0" w:type="auto"/>
            <w:tcBorders>
              <w:top w:val="nil"/>
              <w:left w:val="nil"/>
              <w:bottom w:val="nil"/>
              <w:right w:val="nil"/>
            </w:tcBorders>
            <w:shd w:val="clear" w:color="000000" w:fill="FFFFFF"/>
            <w:noWrap/>
            <w:vAlign w:val="bottom"/>
            <w:hideMark/>
          </w:tcPr>
          <w:p w14:paraId="0FDBD2D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51.66</w:t>
            </w:r>
          </w:p>
        </w:tc>
      </w:tr>
      <w:tr w:rsidR="0046372A" w:rsidRPr="0046372A" w14:paraId="68B06D56" w14:textId="77777777" w:rsidTr="0046372A">
        <w:trPr>
          <w:trHeight w:val="288"/>
        </w:trPr>
        <w:tc>
          <w:tcPr>
            <w:tcW w:w="0" w:type="auto"/>
            <w:tcBorders>
              <w:top w:val="nil"/>
              <w:left w:val="nil"/>
              <w:bottom w:val="nil"/>
              <w:right w:val="nil"/>
            </w:tcBorders>
            <w:shd w:val="clear" w:color="000000" w:fill="FFFFFF"/>
            <w:noWrap/>
            <w:vAlign w:val="bottom"/>
            <w:hideMark/>
          </w:tcPr>
          <w:p w14:paraId="0BA0245D"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Education (%)</w:t>
            </w:r>
          </w:p>
        </w:tc>
        <w:tc>
          <w:tcPr>
            <w:tcW w:w="0" w:type="auto"/>
            <w:tcBorders>
              <w:top w:val="nil"/>
              <w:left w:val="nil"/>
              <w:bottom w:val="nil"/>
              <w:right w:val="nil"/>
            </w:tcBorders>
            <w:shd w:val="clear" w:color="000000" w:fill="FFFFFF"/>
            <w:noWrap/>
            <w:vAlign w:val="bottom"/>
            <w:hideMark/>
          </w:tcPr>
          <w:p w14:paraId="199FBC0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FFE4EB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A1F607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0C534E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88AB90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CE88C0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05167A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E031DF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8A2009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9FEB6D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BB84EB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72433BA6" w14:textId="77777777" w:rsidTr="0046372A">
        <w:trPr>
          <w:trHeight w:val="288"/>
        </w:trPr>
        <w:tc>
          <w:tcPr>
            <w:tcW w:w="0" w:type="auto"/>
            <w:tcBorders>
              <w:top w:val="nil"/>
              <w:left w:val="nil"/>
              <w:bottom w:val="nil"/>
              <w:right w:val="nil"/>
            </w:tcBorders>
            <w:shd w:val="clear" w:color="000000" w:fill="FFFFFF"/>
            <w:noWrap/>
            <w:vAlign w:val="bottom"/>
            <w:hideMark/>
          </w:tcPr>
          <w:p w14:paraId="535F788C"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Below</w:t>
            </w:r>
            <w:proofErr w:type="spellEnd"/>
            <w:r w:rsidRPr="00311AB2">
              <w:rPr>
                <w:rFonts w:ascii="Calibri" w:eastAsia="Times New Roman" w:hAnsi="Calibri" w:cs="Calibri"/>
                <w:i/>
                <w:iCs/>
                <w:color w:val="000000"/>
                <w:sz w:val="18"/>
                <w:szCs w:val="18"/>
                <w:lang w:val="fr-FR" w:eastAsia="fr-FR"/>
              </w:rPr>
              <w:t xml:space="preserve"> </w:t>
            </w:r>
            <w:proofErr w:type="spellStart"/>
            <w:r w:rsidRPr="00311AB2">
              <w:rPr>
                <w:rFonts w:ascii="Calibri" w:eastAsia="Times New Roman" w:hAnsi="Calibri" w:cs="Calibri"/>
                <w:i/>
                <w:iCs/>
                <w:color w:val="000000"/>
                <w:sz w:val="18"/>
                <w:szCs w:val="18"/>
                <w:lang w:val="fr-FR" w:eastAsia="fr-FR"/>
              </w:rPr>
              <w:t>primary</w:t>
            </w:r>
            <w:proofErr w:type="spellEnd"/>
          </w:p>
        </w:tc>
        <w:tc>
          <w:tcPr>
            <w:tcW w:w="0" w:type="auto"/>
            <w:tcBorders>
              <w:top w:val="nil"/>
              <w:left w:val="nil"/>
              <w:bottom w:val="nil"/>
              <w:right w:val="nil"/>
            </w:tcBorders>
            <w:shd w:val="clear" w:color="000000" w:fill="FFFFFF"/>
            <w:noWrap/>
            <w:vAlign w:val="bottom"/>
            <w:hideMark/>
          </w:tcPr>
          <w:p w14:paraId="10A079D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55.15</w:t>
            </w:r>
          </w:p>
        </w:tc>
        <w:tc>
          <w:tcPr>
            <w:tcW w:w="0" w:type="auto"/>
            <w:tcBorders>
              <w:top w:val="nil"/>
              <w:left w:val="nil"/>
              <w:bottom w:val="nil"/>
              <w:right w:val="nil"/>
            </w:tcBorders>
            <w:shd w:val="clear" w:color="000000" w:fill="FFFFFF"/>
            <w:noWrap/>
            <w:vAlign w:val="bottom"/>
            <w:hideMark/>
          </w:tcPr>
          <w:p w14:paraId="776DEA1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57.76</w:t>
            </w:r>
          </w:p>
        </w:tc>
        <w:tc>
          <w:tcPr>
            <w:tcW w:w="0" w:type="auto"/>
            <w:tcBorders>
              <w:top w:val="nil"/>
              <w:left w:val="nil"/>
              <w:bottom w:val="nil"/>
              <w:right w:val="nil"/>
            </w:tcBorders>
            <w:shd w:val="clear" w:color="000000" w:fill="FFFFFF"/>
            <w:noWrap/>
            <w:vAlign w:val="bottom"/>
            <w:hideMark/>
          </w:tcPr>
          <w:p w14:paraId="4EB96F4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AEF069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41.77</w:t>
            </w:r>
          </w:p>
        </w:tc>
        <w:tc>
          <w:tcPr>
            <w:tcW w:w="0" w:type="auto"/>
            <w:tcBorders>
              <w:top w:val="nil"/>
              <w:left w:val="nil"/>
              <w:bottom w:val="nil"/>
              <w:right w:val="nil"/>
            </w:tcBorders>
            <w:shd w:val="clear" w:color="000000" w:fill="FFFFFF"/>
            <w:noWrap/>
            <w:vAlign w:val="bottom"/>
            <w:hideMark/>
          </w:tcPr>
          <w:p w14:paraId="7EDC4B6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37.56</w:t>
            </w:r>
          </w:p>
        </w:tc>
        <w:tc>
          <w:tcPr>
            <w:tcW w:w="0" w:type="auto"/>
            <w:tcBorders>
              <w:top w:val="nil"/>
              <w:left w:val="nil"/>
              <w:bottom w:val="nil"/>
              <w:right w:val="nil"/>
            </w:tcBorders>
            <w:shd w:val="clear" w:color="000000" w:fill="FFFFFF"/>
            <w:noWrap/>
            <w:vAlign w:val="bottom"/>
            <w:hideMark/>
          </w:tcPr>
          <w:p w14:paraId="6445C75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3FD70D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35.85</w:t>
            </w:r>
          </w:p>
        </w:tc>
        <w:tc>
          <w:tcPr>
            <w:tcW w:w="0" w:type="auto"/>
            <w:tcBorders>
              <w:top w:val="nil"/>
              <w:left w:val="nil"/>
              <w:bottom w:val="nil"/>
              <w:right w:val="nil"/>
            </w:tcBorders>
            <w:shd w:val="clear" w:color="000000" w:fill="FFFFFF"/>
            <w:noWrap/>
            <w:vAlign w:val="bottom"/>
            <w:hideMark/>
          </w:tcPr>
          <w:p w14:paraId="0CDE6A8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22.81</w:t>
            </w:r>
          </w:p>
        </w:tc>
        <w:tc>
          <w:tcPr>
            <w:tcW w:w="0" w:type="auto"/>
            <w:tcBorders>
              <w:top w:val="nil"/>
              <w:left w:val="nil"/>
              <w:bottom w:val="nil"/>
              <w:right w:val="nil"/>
            </w:tcBorders>
            <w:shd w:val="clear" w:color="000000" w:fill="FFFFFF"/>
            <w:noWrap/>
            <w:vAlign w:val="bottom"/>
            <w:hideMark/>
          </w:tcPr>
          <w:p w14:paraId="4BA8A98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07BC77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47.41</w:t>
            </w:r>
          </w:p>
        </w:tc>
        <w:tc>
          <w:tcPr>
            <w:tcW w:w="0" w:type="auto"/>
            <w:tcBorders>
              <w:top w:val="nil"/>
              <w:left w:val="nil"/>
              <w:bottom w:val="nil"/>
              <w:right w:val="nil"/>
            </w:tcBorders>
            <w:shd w:val="clear" w:color="000000" w:fill="FFFFFF"/>
            <w:noWrap/>
            <w:vAlign w:val="bottom"/>
            <w:hideMark/>
          </w:tcPr>
          <w:p w14:paraId="47A078B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45.47</w:t>
            </w:r>
          </w:p>
        </w:tc>
      </w:tr>
      <w:tr w:rsidR="0046372A" w:rsidRPr="0046372A" w14:paraId="1951E109" w14:textId="77777777" w:rsidTr="0046372A">
        <w:trPr>
          <w:trHeight w:val="288"/>
        </w:trPr>
        <w:tc>
          <w:tcPr>
            <w:tcW w:w="0" w:type="auto"/>
            <w:tcBorders>
              <w:top w:val="nil"/>
              <w:left w:val="nil"/>
              <w:bottom w:val="nil"/>
              <w:right w:val="nil"/>
            </w:tcBorders>
            <w:shd w:val="clear" w:color="000000" w:fill="FFFFFF"/>
            <w:noWrap/>
            <w:vAlign w:val="bottom"/>
            <w:hideMark/>
          </w:tcPr>
          <w:p w14:paraId="18543A3B"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Primary</w:t>
            </w:r>
            <w:proofErr w:type="spellEnd"/>
            <w:r w:rsidRPr="00311AB2">
              <w:rPr>
                <w:rFonts w:ascii="Calibri" w:eastAsia="Times New Roman" w:hAnsi="Calibri" w:cs="Calibri"/>
                <w:i/>
                <w:iCs/>
                <w:color w:val="000000"/>
                <w:sz w:val="18"/>
                <w:szCs w:val="18"/>
                <w:lang w:val="fr-FR" w:eastAsia="fr-FR"/>
              </w:rPr>
              <w:t xml:space="preserve"> </w:t>
            </w:r>
            <w:proofErr w:type="spellStart"/>
            <w:r w:rsidRPr="00311AB2">
              <w:rPr>
                <w:rFonts w:ascii="Calibri" w:eastAsia="Times New Roman" w:hAnsi="Calibri" w:cs="Calibri"/>
                <w:i/>
                <w:iCs/>
                <w:color w:val="000000"/>
                <w:sz w:val="18"/>
                <w:szCs w:val="18"/>
                <w:lang w:val="fr-FR" w:eastAsia="fr-FR"/>
              </w:rPr>
              <w:t>completed</w:t>
            </w:r>
            <w:proofErr w:type="spellEnd"/>
          </w:p>
        </w:tc>
        <w:tc>
          <w:tcPr>
            <w:tcW w:w="0" w:type="auto"/>
            <w:tcBorders>
              <w:top w:val="nil"/>
              <w:left w:val="nil"/>
              <w:bottom w:val="nil"/>
              <w:right w:val="nil"/>
            </w:tcBorders>
            <w:shd w:val="clear" w:color="000000" w:fill="FFFFFF"/>
            <w:noWrap/>
            <w:vAlign w:val="bottom"/>
            <w:hideMark/>
          </w:tcPr>
          <w:p w14:paraId="724AA4B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19.07</w:t>
            </w:r>
          </w:p>
        </w:tc>
        <w:tc>
          <w:tcPr>
            <w:tcW w:w="0" w:type="auto"/>
            <w:tcBorders>
              <w:top w:val="nil"/>
              <w:left w:val="nil"/>
              <w:bottom w:val="nil"/>
              <w:right w:val="nil"/>
            </w:tcBorders>
            <w:shd w:val="clear" w:color="000000" w:fill="FFFFFF"/>
            <w:noWrap/>
            <w:vAlign w:val="bottom"/>
            <w:hideMark/>
          </w:tcPr>
          <w:p w14:paraId="349D5AD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17.67</w:t>
            </w:r>
          </w:p>
        </w:tc>
        <w:tc>
          <w:tcPr>
            <w:tcW w:w="0" w:type="auto"/>
            <w:tcBorders>
              <w:top w:val="nil"/>
              <w:left w:val="nil"/>
              <w:bottom w:val="nil"/>
              <w:right w:val="nil"/>
            </w:tcBorders>
            <w:shd w:val="clear" w:color="000000" w:fill="FFFFFF"/>
            <w:noWrap/>
            <w:vAlign w:val="bottom"/>
            <w:hideMark/>
          </w:tcPr>
          <w:p w14:paraId="13B3C99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349A8F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18.35</w:t>
            </w:r>
          </w:p>
        </w:tc>
        <w:tc>
          <w:tcPr>
            <w:tcW w:w="0" w:type="auto"/>
            <w:tcBorders>
              <w:top w:val="nil"/>
              <w:left w:val="nil"/>
              <w:bottom w:val="nil"/>
              <w:right w:val="nil"/>
            </w:tcBorders>
            <w:shd w:val="clear" w:color="000000" w:fill="FFFFFF"/>
            <w:noWrap/>
            <w:vAlign w:val="bottom"/>
            <w:hideMark/>
          </w:tcPr>
          <w:p w14:paraId="6BE47A1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26.90</w:t>
            </w:r>
          </w:p>
        </w:tc>
        <w:tc>
          <w:tcPr>
            <w:tcW w:w="0" w:type="auto"/>
            <w:tcBorders>
              <w:top w:val="nil"/>
              <w:left w:val="nil"/>
              <w:bottom w:val="nil"/>
              <w:right w:val="nil"/>
            </w:tcBorders>
            <w:shd w:val="clear" w:color="000000" w:fill="FFFFFF"/>
            <w:noWrap/>
            <w:vAlign w:val="bottom"/>
            <w:hideMark/>
          </w:tcPr>
          <w:p w14:paraId="372C237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35949B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22.64</w:t>
            </w:r>
          </w:p>
        </w:tc>
        <w:tc>
          <w:tcPr>
            <w:tcW w:w="0" w:type="auto"/>
            <w:tcBorders>
              <w:top w:val="nil"/>
              <w:left w:val="nil"/>
              <w:bottom w:val="nil"/>
              <w:right w:val="nil"/>
            </w:tcBorders>
            <w:shd w:val="clear" w:color="000000" w:fill="FFFFFF"/>
            <w:noWrap/>
            <w:vAlign w:val="bottom"/>
            <w:hideMark/>
          </w:tcPr>
          <w:p w14:paraId="036F031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26.32</w:t>
            </w:r>
          </w:p>
        </w:tc>
        <w:tc>
          <w:tcPr>
            <w:tcW w:w="0" w:type="auto"/>
            <w:tcBorders>
              <w:top w:val="nil"/>
              <w:left w:val="nil"/>
              <w:bottom w:val="nil"/>
              <w:right w:val="nil"/>
            </w:tcBorders>
            <w:shd w:val="clear" w:color="000000" w:fill="FFFFFF"/>
            <w:noWrap/>
            <w:vAlign w:val="bottom"/>
            <w:hideMark/>
          </w:tcPr>
          <w:p w14:paraId="54D6A05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8D1DD4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19.26</w:t>
            </w:r>
          </w:p>
        </w:tc>
        <w:tc>
          <w:tcPr>
            <w:tcW w:w="0" w:type="auto"/>
            <w:tcBorders>
              <w:top w:val="nil"/>
              <w:left w:val="nil"/>
              <w:bottom w:val="nil"/>
              <w:right w:val="nil"/>
            </w:tcBorders>
            <w:shd w:val="clear" w:color="000000" w:fill="FFFFFF"/>
            <w:noWrap/>
            <w:vAlign w:val="bottom"/>
            <w:hideMark/>
          </w:tcPr>
          <w:p w14:paraId="3623DFE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22.43</w:t>
            </w:r>
          </w:p>
        </w:tc>
      </w:tr>
      <w:tr w:rsidR="0046372A" w:rsidRPr="0046372A" w14:paraId="3AECBE3D" w14:textId="77777777" w:rsidTr="0046372A">
        <w:trPr>
          <w:trHeight w:val="288"/>
        </w:trPr>
        <w:tc>
          <w:tcPr>
            <w:tcW w:w="0" w:type="auto"/>
            <w:tcBorders>
              <w:top w:val="nil"/>
              <w:left w:val="nil"/>
              <w:bottom w:val="nil"/>
              <w:right w:val="nil"/>
            </w:tcBorders>
            <w:shd w:val="clear" w:color="000000" w:fill="FFFFFF"/>
            <w:noWrap/>
            <w:vAlign w:val="bottom"/>
            <w:hideMark/>
          </w:tcPr>
          <w:p w14:paraId="7532E59E"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 xml:space="preserve">High </w:t>
            </w:r>
            <w:proofErr w:type="spellStart"/>
            <w:r w:rsidRPr="00311AB2">
              <w:rPr>
                <w:rFonts w:ascii="Calibri" w:eastAsia="Times New Roman" w:hAnsi="Calibri" w:cs="Calibri"/>
                <w:i/>
                <w:iCs/>
                <w:color w:val="000000"/>
                <w:sz w:val="18"/>
                <w:szCs w:val="18"/>
                <w:lang w:val="fr-FR" w:eastAsia="fr-FR"/>
              </w:rPr>
              <w:t>school</w:t>
            </w:r>
            <w:proofErr w:type="spellEnd"/>
          </w:p>
        </w:tc>
        <w:tc>
          <w:tcPr>
            <w:tcW w:w="0" w:type="auto"/>
            <w:tcBorders>
              <w:top w:val="nil"/>
              <w:left w:val="nil"/>
              <w:bottom w:val="nil"/>
              <w:right w:val="nil"/>
            </w:tcBorders>
            <w:shd w:val="clear" w:color="000000" w:fill="FFFFFF"/>
            <w:noWrap/>
            <w:vAlign w:val="bottom"/>
            <w:hideMark/>
          </w:tcPr>
          <w:p w14:paraId="3C9FC5F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22.16</w:t>
            </w:r>
          </w:p>
        </w:tc>
        <w:tc>
          <w:tcPr>
            <w:tcW w:w="0" w:type="auto"/>
            <w:tcBorders>
              <w:top w:val="nil"/>
              <w:left w:val="nil"/>
              <w:bottom w:val="nil"/>
              <w:right w:val="nil"/>
            </w:tcBorders>
            <w:shd w:val="clear" w:color="000000" w:fill="FFFFFF"/>
            <w:noWrap/>
            <w:vAlign w:val="bottom"/>
            <w:hideMark/>
          </w:tcPr>
          <w:p w14:paraId="5879D65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19.40</w:t>
            </w:r>
          </w:p>
        </w:tc>
        <w:tc>
          <w:tcPr>
            <w:tcW w:w="0" w:type="auto"/>
            <w:tcBorders>
              <w:top w:val="nil"/>
              <w:left w:val="nil"/>
              <w:bottom w:val="nil"/>
              <w:right w:val="nil"/>
            </w:tcBorders>
            <w:shd w:val="clear" w:color="000000" w:fill="FFFFFF"/>
            <w:noWrap/>
            <w:vAlign w:val="bottom"/>
            <w:hideMark/>
          </w:tcPr>
          <w:p w14:paraId="551FAF8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B9CA5A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36.71</w:t>
            </w:r>
          </w:p>
        </w:tc>
        <w:tc>
          <w:tcPr>
            <w:tcW w:w="0" w:type="auto"/>
            <w:tcBorders>
              <w:top w:val="nil"/>
              <w:left w:val="nil"/>
              <w:bottom w:val="nil"/>
              <w:right w:val="nil"/>
            </w:tcBorders>
            <w:shd w:val="clear" w:color="000000" w:fill="FFFFFF"/>
            <w:noWrap/>
            <w:vAlign w:val="bottom"/>
            <w:hideMark/>
          </w:tcPr>
          <w:p w14:paraId="038CD86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28.43</w:t>
            </w:r>
          </w:p>
        </w:tc>
        <w:tc>
          <w:tcPr>
            <w:tcW w:w="0" w:type="auto"/>
            <w:tcBorders>
              <w:top w:val="nil"/>
              <w:left w:val="nil"/>
              <w:bottom w:val="nil"/>
              <w:right w:val="nil"/>
            </w:tcBorders>
            <w:shd w:val="clear" w:color="000000" w:fill="FFFFFF"/>
            <w:noWrap/>
            <w:vAlign w:val="bottom"/>
            <w:hideMark/>
          </w:tcPr>
          <w:p w14:paraId="4D57D41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D70784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39.62</w:t>
            </w:r>
          </w:p>
        </w:tc>
        <w:tc>
          <w:tcPr>
            <w:tcW w:w="0" w:type="auto"/>
            <w:tcBorders>
              <w:top w:val="nil"/>
              <w:left w:val="nil"/>
              <w:bottom w:val="nil"/>
              <w:right w:val="nil"/>
            </w:tcBorders>
            <w:shd w:val="clear" w:color="000000" w:fill="FFFFFF"/>
            <w:noWrap/>
            <w:vAlign w:val="bottom"/>
            <w:hideMark/>
          </w:tcPr>
          <w:p w14:paraId="1EC33AA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36.84</w:t>
            </w:r>
          </w:p>
        </w:tc>
        <w:tc>
          <w:tcPr>
            <w:tcW w:w="0" w:type="auto"/>
            <w:tcBorders>
              <w:top w:val="nil"/>
              <w:left w:val="nil"/>
              <w:bottom w:val="nil"/>
              <w:right w:val="nil"/>
            </w:tcBorders>
            <w:shd w:val="clear" w:color="000000" w:fill="FFFFFF"/>
            <w:noWrap/>
            <w:vAlign w:val="bottom"/>
            <w:hideMark/>
          </w:tcPr>
          <w:p w14:paraId="42ADB9A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DB7790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30.12</w:t>
            </w:r>
          </w:p>
        </w:tc>
        <w:tc>
          <w:tcPr>
            <w:tcW w:w="0" w:type="auto"/>
            <w:tcBorders>
              <w:top w:val="nil"/>
              <w:left w:val="nil"/>
              <w:bottom w:val="nil"/>
              <w:right w:val="nil"/>
            </w:tcBorders>
            <w:shd w:val="clear" w:color="000000" w:fill="FFFFFF"/>
            <w:noWrap/>
            <w:vAlign w:val="bottom"/>
            <w:hideMark/>
          </w:tcPr>
          <w:p w14:paraId="22ABFBE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25.10</w:t>
            </w:r>
          </w:p>
        </w:tc>
      </w:tr>
      <w:tr w:rsidR="0046372A" w:rsidRPr="0046372A" w14:paraId="6BE2C00D" w14:textId="77777777" w:rsidTr="0046372A">
        <w:trPr>
          <w:trHeight w:val="288"/>
        </w:trPr>
        <w:tc>
          <w:tcPr>
            <w:tcW w:w="0" w:type="auto"/>
            <w:tcBorders>
              <w:top w:val="nil"/>
              <w:left w:val="nil"/>
              <w:bottom w:val="nil"/>
              <w:right w:val="nil"/>
            </w:tcBorders>
            <w:shd w:val="clear" w:color="000000" w:fill="FFFFFF"/>
            <w:noWrap/>
            <w:vAlign w:val="bottom"/>
            <w:hideMark/>
          </w:tcPr>
          <w:p w14:paraId="274B0FC4"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HSC/</w:t>
            </w:r>
            <w:proofErr w:type="spellStart"/>
            <w:r w:rsidRPr="00311AB2">
              <w:rPr>
                <w:rFonts w:ascii="Calibri" w:eastAsia="Times New Roman" w:hAnsi="Calibri" w:cs="Calibri"/>
                <w:i/>
                <w:iCs/>
                <w:color w:val="000000"/>
                <w:sz w:val="18"/>
                <w:szCs w:val="18"/>
                <w:lang w:val="fr-FR" w:eastAsia="fr-FR"/>
              </w:rPr>
              <w:t>Diploma</w:t>
            </w:r>
            <w:proofErr w:type="spellEnd"/>
          </w:p>
        </w:tc>
        <w:tc>
          <w:tcPr>
            <w:tcW w:w="0" w:type="auto"/>
            <w:tcBorders>
              <w:top w:val="nil"/>
              <w:left w:val="nil"/>
              <w:bottom w:val="nil"/>
              <w:right w:val="nil"/>
            </w:tcBorders>
            <w:shd w:val="clear" w:color="000000" w:fill="FFFFFF"/>
            <w:noWrap/>
            <w:vAlign w:val="bottom"/>
            <w:hideMark/>
          </w:tcPr>
          <w:p w14:paraId="05A8915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2.58</w:t>
            </w:r>
          </w:p>
        </w:tc>
        <w:tc>
          <w:tcPr>
            <w:tcW w:w="0" w:type="auto"/>
            <w:tcBorders>
              <w:top w:val="nil"/>
              <w:left w:val="nil"/>
              <w:bottom w:val="nil"/>
              <w:right w:val="nil"/>
            </w:tcBorders>
            <w:shd w:val="clear" w:color="000000" w:fill="FFFFFF"/>
            <w:noWrap/>
            <w:vAlign w:val="bottom"/>
            <w:hideMark/>
          </w:tcPr>
          <w:p w14:paraId="2EDDA1B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4.31</w:t>
            </w:r>
          </w:p>
        </w:tc>
        <w:tc>
          <w:tcPr>
            <w:tcW w:w="0" w:type="auto"/>
            <w:tcBorders>
              <w:top w:val="nil"/>
              <w:left w:val="nil"/>
              <w:bottom w:val="nil"/>
              <w:right w:val="nil"/>
            </w:tcBorders>
            <w:shd w:val="clear" w:color="000000" w:fill="FFFFFF"/>
            <w:noWrap/>
            <w:vAlign w:val="bottom"/>
            <w:hideMark/>
          </w:tcPr>
          <w:p w14:paraId="07917F7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3D2A7A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2.53</w:t>
            </w:r>
          </w:p>
        </w:tc>
        <w:tc>
          <w:tcPr>
            <w:tcW w:w="0" w:type="auto"/>
            <w:tcBorders>
              <w:top w:val="nil"/>
              <w:left w:val="nil"/>
              <w:bottom w:val="nil"/>
              <w:right w:val="nil"/>
            </w:tcBorders>
            <w:shd w:val="clear" w:color="000000" w:fill="FFFFFF"/>
            <w:noWrap/>
            <w:vAlign w:val="bottom"/>
            <w:hideMark/>
          </w:tcPr>
          <w:p w14:paraId="7375B15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5.58</w:t>
            </w:r>
          </w:p>
        </w:tc>
        <w:tc>
          <w:tcPr>
            <w:tcW w:w="0" w:type="auto"/>
            <w:tcBorders>
              <w:top w:val="nil"/>
              <w:left w:val="nil"/>
              <w:bottom w:val="nil"/>
              <w:right w:val="nil"/>
            </w:tcBorders>
            <w:shd w:val="clear" w:color="000000" w:fill="FFFFFF"/>
            <w:noWrap/>
            <w:vAlign w:val="bottom"/>
            <w:hideMark/>
          </w:tcPr>
          <w:p w14:paraId="0520449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1F36E4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000000" w:fill="FFFFFF"/>
            <w:noWrap/>
            <w:vAlign w:val="bottom"/>
            <w:hideMark/>
          </w:tcPr>
          <w:p w14:paraId="32DA807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12.28</w:t>
            </w:r>
          </w:p>
        </w:tc>
        <w:tc>
          <w:tcPr>
            <w:tcW w:w="0" w:type="auto"/>
            <w:tcBorders>
              <w:top w:val="nil"/>
              <w:left w:val="nil"/>
              <w:bottom w:val="nil"/>
              <w:right w:val="nil"/>
            </w:tcBorders>
            <w:shd w:val="clear" w:color="000000" w:fill="FFFFFF"/>
            <w:noWrap/>
            <w:vAlign w:val="bottom"/>
            <w:hideMark/>
          </w:tcPr>
          <w:p w14:paraId="037E696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39EAC6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2.22</w:t>
            </w:r>
          </w:p>
        </w:tc>
        <w:tc>
          <w:tcPr>
            <w:tcW w:w="0" w:type="auto"/>
            <w:tcBorders>
              <w:top w:val="nil"/>
              <w:left w:val="nil"/>
              <w:bottom w:val="nil"/>
              <w:right w:val="nil"/>
            </w:tcBorders>
            <w:shd w:val="clear" w:color="000000" w:fill="FFFFFF"/>
            <w:noWrap/>
            <w:vAlign w:val="bottom"/>
            <w:hideMark/>
          </w:tcPr>
          <w:p w14:paraId="1947A07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5.76</w:t>
            </w:r>
          </w:p>
        </w:tc>
      </w:tr>
      <w:tr w:rsidR="0046372A" w:rsidRPr="0046372A" w14:paraId="2EA57076" w14:textId="77777777" w:rsidTr="0046372A">
        <w:trPr>
          <w:trHeight w:val="288"/>
        </w:trPr>
        <w:tc>
          <w:tcPr>
            <w:tcW w:w="0" w:type="auto"/>
            <w:tcBorders>
              <w:top w:val="nil"/>
              <w:left w:val="nil"/>
              <w:bottom w:val="nil"/>
              <w:right w:val="nil"/>
            </w:tcBorders>
            <w:shd w:val="clear" w:color="000000" w:fill="FFFFFF"/>
            <w:noWrap/>
            <w:vAlign w:val="bottom"/>
            <w:hideMark/>
          </w:tcPr>
          <w:p w14:paraId="74EEAAFB"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proofErr w:type="spellStart"/>
            <w:r w:rsidRPr="00311AB2">
              <w:rPr>
                <w:rFonts w:ascii="Calibri" w:eastAsia="Times New Roman" w:hAnsi="Calibri" w:cs="Calibri"/>
                <w:i/>
                <w:iCs/>
                <w:color w:val="000000"/>
                <w:sz w:val="18"/>
                <w:szCs w:val="18"/>
                <w:lang w:val="fr-FR" w:eastAsia="fr-FR"/>
              </w:rPr>
              <w:t>Bachelors</w:t>
            </w:r>
            <w:proofErr w:type="spellEnd"/>
          </w:p>
        </w:tc>
        <w:tc>
          <w:tcPr>
            <w:tcW w:w="0" w:type="auto"/>
            <w:tcBorders>
              <w:top w:val="nil"/>
              <w:left w:val="nil"/>
              <w:bottom w:val="nil"/>
              <w:right w:val="nil"/>
            </w:tcBorders>
            <w:shd w:val="clear" w:color="000000" w:fill="FFFFFF"/>
            <w:noWrap/>
            <w:vAlign w:val="bottom"/>
            <w:hideMark/>
          </w:tcPr>
          <w:p w14:paraId="03224D8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0.52</w:t>
            </w:r>
          </w:p>
        </w:tc>
        <w:tc>
          <w:tcPr>
            <w:tcW w:w="0" w:type="auto"/>
            <w:tcBorders>
              <w:top w:val="nil"/>
              <w:left w:val="nil"/>
              <w:bottom w:val="nil"/>
              <w:right w:val="nil"/>
            </w:tcBorders>
            <w:shd w:val="clear" w:color="000000" w:fill="FFFFFF"/>
            <w:noWrap/>
            <w:vAlign w:val="bottom"/>
            <w:hideMark/>
          </w:tcPr>
          <w:p w14:paraId="5606097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0.43</w:t>
            </w:r>
          </w:p>
        </w:tc>
        <w:tc>
          <w:tcPr>
            <w:tcW w:w="0" w:type="auto"/>
            <w:tcBorders>
              <w:top w:val="nil"/>
              <w:left w:val="nil"/>
              <w:bottom w:val="nil"/>
              <w:right w:val="nil"/>
            </w:tcBorders>
            <w:shd w:val="clear" w:color="000000" w:fill="FFFFFF"/>
            <w:noWrap/>
            <w:vAlign w:val="bottom"/>
            <w:hideMark/>
          </w:tcPr>
          <w:p w14:paraId="40A6F68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04B612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000000" w:fill="FFFFFF"/>
            <w:noWrap/>
            <w:vAlign w:val="bottom"/>
            <w:hideMark/>
          </w:tcPr>
          <w:p w14:paraId="46DB923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1.02</w:t>
            </w:r>
          </w:p>
        </w:tc>
        <w:tc>
          <w:tcPr>
            <w:tcW w:w="0" w:type="auto"/>
            <w:tcBorders>
              <w:top w:val="nil"/>
              <w:left w:val="nil"/>
              <w:bottom w:val="nil"/>
              <w:right w:val="nil"/>
            </w:tcBorders>
            <w:shd w:val="clear" w:color="000000" w:fill="FFFFFF"/>
            <w:noWrap/>
            <w:vAlign w:val="bottom"/>
            <w:hideMark/>
          </w:tcPr>
          <w:p w14:paraId="708497B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9BD954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1.89</w:t>
            </w:r>
          </w:p>
        </w:tc>
        <w:tc>
          <w:tcPr>
            <w:tcW w:w="0" w:type="auto"/>
            <w:tcBorders>
              <w:top w:val="nil"/>
              <w:left w:val="nil"/>
              <w:bottom w:val="nil"/>
              <w:right w:val="nil"/>
            </w:tcBorders>
            <w:shd w:val="clear" w:color="000000" w:fill="FFFFFF"/>
            <w:noWrap/>
            <w:vAlign w:val="bottom"/>
            <w:hideMark/>
          </w:tcPr>
          <w:p w14:paraId="6915D05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1.75</w:t>
            </w:r>
          </w:p>
        </w:tc>
        <w:tc>
          <w:tcPr>
            <w:tcW w:w="0" w:type="auto"/>
            <w:tcBorders>
              <w:top w:val="nil"/>
              <w:left w:val="nil"/>
              <w:bottom w:val="nil"/>
              <w:right w:val="nil"/>
            </w:tcBorders>
            <w:shd w:val="clear" w:color="000000" w:fill="FFFFFF"/>
            <w:noWrap/>
            <w:vAlign w:val="bottom"/>
            <w:hideMark/>
          </w:tcPr>
          <w:p w14:paraId="04E66EE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73855F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0.49</w:t>
            </w:r>
          </w:p>
        </w:tc>
        <w:tc>
          <w:tcPr>
            <w:tcW w:w="0" w:type="auto"/>
            <w:tcBorders>
              <w:top w:val="nil"/>
              <w:left w:val="nil"/>
              <w:bottom w:val="nil"/>
              <w:right w:val="nil"/>
            </w:tcBorders>
            <w:shd w:val="clear" w:color="000000" w:fill="FFFFFF"/>
            <w:noWrap/>
            <w:vAlign w:val="bottom"/>
            <w:hideMark/>
          </w:tcPr>
          <w:p w14:paraId="6747200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0.82</w:t>
            </w:r>
          </w:p>
        </w:tc>
      </w:tr>
      <w:tr w:rsidR="0046372A" w:rsidRPr="0046372A" w14:paraId="6139A993" w14:textId="77777777" w:rsidTr="0046372A">
        <w:trPr>
          <w:trHeight w:val="288"/>
        </w:trPr>
        <w:tc>
          <w:tcPr>
            <w:tcW w:w="0" w:type="auto"/>
            <w:tcBorders>
              <w:top w:val="nil"/>
              <w:left w:val="nil"/>
              <w:bottom w:val="nil"/>
              <w:right w:val="nil"/>
            </w:tcBorders>
            <w:shd w:val="clear" w:color="000000" w:fill="FFFFFF"/>
            <w:noWrap/>
            <w:vAlign w:val="bottom"/>
            <w:hideMark/>
          </w:tcPr>
          <w:p w14:paraId="1BD81B43"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 xml:space="preserve">Post </w:t>
            </w:r>
            <w:proofErr w:type="spellStart"/>
            <w:r w:rsidRPr="00311AB2">
              <w:rPr>
                <w:rFonts w:ascii="Calibri" w:eastAsia="Times New Roman" w:hAnsi="Calibri" w:cs="Calibri"/>
                <w:i/>
                <w:iCs/>
                <w:color w:val="000000"/>
                <w:sz w:val="18"/>
                <w:szCs w:val="18"/>
                <w:lang w:val="fr-FR" w:eastAsia="fr-FR"/>
              </w:rPr>
              <w:t>graduate</w:t>
            </w:r>
            <w:proofErr w:type="spellEnd"/>
          </w:p>
        </w:tc>
        <w:tc>
          <w:tcPr>
            <w:tcW w:w="0" w:type="auto"/>
            <w:tcBorders>
              <w:top w:val="nil"/>
              <w:left w:val="nil"/>
              <w:bottom w:val="nil"/>
              <w:right w:val="nil"/>
            </w:tcBorders>
            <w:shd w:val="clear" w:color="000000" w:fill="FFFFFF"/>
            <w:noWrap/>
            <w:vAlign w:val="bottom"/>
            <w:hideMark/>
          </w:tcPr>
          <w:p w14:paraId="4C9A9C4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0.52</w:t>
            </w:r>
          </w:p>
        </w:tc>
        <w:tc>
          <w:tcPr>
            <w:tcW w:w="0" w:type="auto"/>
            <w:tcBorders>
              <w:top w:val="nil"/>
              <w:left w:val="nil"/>
              <w:bottom w:val="nil"/>
              <w:right w:val="nil"/>
            </w:tcBorders>
            <w:shd w:val="clear" w:color="000000" w:fill="FFFFFF"/>
            <w:noWrap/>
            <w:vAlign w:val="bottom"/>
            <w:hideMark/>
          </w:tcPr>
          <w:p w14:paraId="626924F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0.43</w:t>
            </w:r>
          </w:p>
        </w:tc>
        <w:tc>
          <w:tcPr>
            <w:tcW w:w="0" w:type="auto"/>
            <w:tcBorders>
              <w:top w:val="nil"/>
              <w:left w:val="nil"/>
              <w:bottom w:val="nil"/>
              <w:right w:val="nil"/>
            </w:tcBorders>
            <w:shd w:val="clear" w:color="000000" w:fill="FFFFFF"/>
            <w:noWrap/>
            <w:vAlign w:val="bottom"/>
            <w:hideMark/>
          </w:tcPr>
          <w:p w14:paraId="76BB9F7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6E0CD7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0.63</w:t>
            </w:r>
          </w:p>
        </w:tc>
        <w:tc>
          <w:tcPr>
            <w:tcW w:w="0" w:type="auto"/>
            <w:tcBorders>
              <w:top w:val="nil"/>
              <w:left w:val="nil"/>
              <w:bottom w:val="nil"/>
              <w:right w:val="nil"/>
            </w:tcBorders>
            <w:shd w:val="clear" w:color="000000" w:fill="FFFFFF"/>
            <w:noWrap/>
            <w:vAlign w:val="bottom"/>
            <w:hideMark/>
          </w:tcPr>
          <w:p w14:paraId="4936AA7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0.51</w:t>
            </w:r>
          </w:p>
        </w:tc>
        <w:tc>
          <w:tcPr>
            <w:tcW w:w="0" w:type="auto"/>
            <w:tcBorders>
              <w:top w:val="nil"/>
              <w:left w:val="nil"/>
              <w:bottom w:val="nil"/>
              <w:right w:val="nil"/>
            </w:tcBorders>
            <w:shd w:val="clear" w:color="000000" w:fill="FFFFFF"/>
            <w:noWrap/>
            <w:vAlign w:val="bottom"/>
            <w:hideMark/>
          </w:tcPr>
          <w:p w14:paraId="513764F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5290C4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000000" w:fill="FFFFFF"/>
            <w:noWrap/>
            <w:vAlign w:val="bottom"/>
            <w:hideMark/>
          </w:tcPr>
          <w:p w14:paraId="22C8001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000000" w:fill="FFFFFF"/>
            <w:noWrap/>
            <w:vAlign w:val="bottom"/>
            <w:hideMark/>
          </w:tcPr>
          <w:p w14:paraId="6DB944F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7973E7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0.49</w:t>
            </w:r>
          </w:p>
        </w:tc>
        <w:tc>
          <w:tcPr>
            <w:tcW w:w="0" w:type="auto"/>
            <w:tcBorders>
              <w:top w:val="nil"/>
              <w:left w:val="nil"/>
              <w:bottom w:val="nil"/>
              <w:right w:val="nil"/>
            </w:tcBorders>
            <w:shd w:val="clear" w:color="000000" w:fill="FFFFFF"/>
            <w:noWrap/>
            <w:vAlign w:val="bottom"/>
            <w:hideMark/>
          </w:tcPr>
          <w:p w14:paraId="00448F4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0.41</w:t>
            </w:r>
          </w:p>
        </w:tc>
      </w:tr>
      <w:tr w:rsidR="0046372A" w:rsidRPr="0046372A" w14:paraId="3DA34D4E" w14:textId="77777777" w:rsidTr="0046372A">
        <w:trPr>
          <w:trHeight w:val="288"/>
        </w:trPr>
        <w:tc>
          <w:tcPr>
            <w:tcW w:w="0" w:type="auto"/>
            <w:tcBorders>
              <w:top w:val="nil"/>
              <w:left w:val="nil"/>
              <w:bottom w:val="nil"/>
              <w:right w:val="nil"/>
            </w:tcBorders>
            <w:shd w:val="clear" w:color="000000" w:fill="FFFFFF"/>
            <w:noWrap/>
            <w:vAlign w:val="bottom"/>
            <w:hideMark/>
          </w:tcPr>
          <w:p w14:paraId="7C2B663C"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Main occupation (%)</w:t>
            </w:r>
          </w:p>
        </w:tc>
        <w:tc>
          <w:tcPr>
            <w:tcW w:w="0" w:type="auto"/>
            <w:tcBorders>
              <w:top w:val="nil"/>
              <w:left w:val="nil"/>
              <w:bottom w:val="nil"/>
              <w:right w:val="nil"/>
            </w:tcBorders>
            <w:shd w:val="clear" w:color="000000" w:fill="FFFFFF"/>
            <w:noWrap/>
            <w:vAlign w:val="bottom"/>
            <w:hideMark/>
          </w:tcPr>
          <w:p w14:paraId="27FE015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687001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41C1C4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57564B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3A4F48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A44CBA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C45E13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FDDFE7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278860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44BBAAF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E9AA47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r>
      <w:tr w:rsidR="0046372A" w:rsidRPr="0046372A" w14:paraId="046BEFA6" w14:textId="77777777" w:rsidTr="0046372A">
        <w:trPr>
          <w:trHeight w:val="288"/>
        </w:trPr>
        <w:tc>
          <w:tcPr>
            <w:tcW w:w="0" w:type="auto"/>
            <w:tcBorders>
              <w:top w:val="nil"/>
              <w:left w:val="nil"/>
              <w:bottom w:val="nil"/>
              <w:right w:val="nil"/>
            </w:tcBorders>
            <w:shd w:val="clear" w:color="000000" w:fill="FFFFFF"/>
            <w:noWrap/>
            <w:vAlign w:val="bottom"/>
            <w:hideMark/>
          </w:tcPr>
          <w:p w14:paraId="3CD9837A"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Agri. SE</w:t>
            </w:r>
          </w:p>
        </w:tc>
        <w:tc>
          <w:tcPr>
            <w:tcW w:w="0" w:type="auto"/>
            <w:tcBorders>
              <w:top w:val="nil"/>
              <w:left w:val="nil"/>
              <w:bottom w:val="nil"/>
              <w:right w:val="nil"/>
            </w:tcBorders>
            <w:shd w:val="clear" w:color="000000" w:fill="FFFFFF"/>
            <w:noWrap/>
            <w:vAlign w:val="bottom"/>
            <w:hideMark/>
          </w:tcPr>
          <w:p w14:paraId="7F95A68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16.67</w:t>
            </w:r>
          </w:p>
        </w:tc>
        <w:tc>
          <w:tcPr>
            <w:tcW w:w="0" w:type="auto"/>
            <w:tcBorders>
              <w:top w:val="nil"/>
              <w:left w:val="nil"/>
              <w:bottom w:val="nil"/>
              <w:right w:val="nil"/>
            </w:tcBorders>
            <w:shd w:val="clear" w:color="000000" w:fill="FFFFFF"/>
            <w:noWrap/>
            <w:vAlign w:val="bottom"/>
            <w:hideMark/>
          </w:tcPr>
          <w:p w14:paraId="2B216BC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11.52</w:t>
            </w:r>
          </w:p>
        </w:tc>
        <w:tc>
          <w:tcPr>
            <w:tcW w:w="0" w:type="auto"/>
            <w:tcBorders>
              <w:top w:val="nil"/>
              <w:left w:val="nil"/>
              <w:bottom w:val="nil"/>
              <w:right w:val="nil"/>
            </w:tcBorders>
            <w:shd w:val="clear" w:color="000000" w:fill="FFFFFF"/>
            <w:noWrap/>
            <w:vAlign w:val="bottom"/>
            <w:hideMark/>
          </w:tcPr>
          <w:p w14:paraId="3C30345E"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055BEC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37.50</w:t>
            </w:r>
          </w:p>
        </w:tc>
        <w:tc>
          <w:tcPr>
            <w:tcW w:w="0" w:type="auto"/>
            <w:tcBorders>
              <w:top w:val="nil"/>
              <w:left w:val="nil"/>
              <w:bottom w:val="nil"/>
              <w:right w:val="nil"/>
            </w:tcBorders>
            <w:shd w:val="clear" w:color="000000" w:fill="FFFFFF"/>
            <w:noWrap/>
            <w:vAlign w:val="bottom"/>
            <w:hideMark/>
          </w:tcPr>
          <w:p w14:paraId="1484E72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33.15</w:t>
            </w:r>
          </w:p>
        </w:tc>
        <w:tc>
          <w:tcPr>
            <w:tcW w:w="0" w:type="auto"/>
            <w:tcBorders>
              <w:top w:val="nil"/>
              <w:left w:val="nil"/>
              <w:bottom w:val="nil"/>
              <w:right w:val="nil"/>
            </w:tcBorders>
            <w:shd w:val="clear" w:color="000000" w:fill="FFFFFF"/>
            <w:noWrap/>
            <w:vAlign w:val="bottom"/>
            <w:hideMark/>
          </w:tcPr>
          <w:p w14:paraId="49A5B876"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5A25E2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32.31</w:t>
            </w:r>
          </w:p>
        </w:tc>
        <w:tc>
          <w:tcPr>
            <w:tcW w:w="0" w:type="auto"/>
            <w:tcBorders>
              <w:top w:val="nil"/>
              <w:left w:val="nil"/>
              <w:bottom w:val="nil"/>
              <w:right w:val="nil"/>
            </w:tcBorders>
            <w:shd w:val="clear" w:color="000000" w:fill="FFFFFF"/>
            <w:noWrap/>
            <w:vAlign w:val="bottom"/>
            <w:hideMark/>
          </w:tcPr>
          <w:p w14:paraId="710315D2"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18.75</w:t>
            </w:r>
          </w:p>
        </w:tc>
        <w:tc>
          <w:tcPr>
            <w:tcW w:w="0" w:type="auto"/>
            <w:tcBorders>
              <w:top w:val="nil"/>
              <w:left w:val="nil"/>
              <w:bottom w:val="nil"/>
              <w:right w:val="nil"/>
            </w:tcBorders>
            <w:shd w:val="clear" w:color="000000" w:fill="FFFFFF"/>
            <w:noWrap/>
            <w:vAlign w:val="bottom"/>
            <w:hideMark/>
          </w:tcPr>
          <w:p w14:paraId="1E690BB5"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EF2E05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26.84</w:t>
            </w:r>
          </w:p>
        </w:tc>
        <w:tc>
          <w:tcPr>
            <w:tcW w:w="0" w:type="auto"/>
            <w:tcBorders>
              <w:top w:val="nil"/>
              <w:left w:val="nil"/>
              <w:bottom w:val="nil"/>
              <w:right w:val="nil"/>
            </w:tcBorders>
            <w:shd w:val="clear" w:color="000000" w:fill="FFFFFF"/>
            <w:noWrap/>
            <w:vAlign w:val="bottom"/>
            <w:hideMark/>
          </w:tcPr>
          <w:p w14:paraId="06945AC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21.16</w:t>
            </w:r>
          </w:p>
        </w:tc>
      </w:tr>
      <w:tr w:rsidR="0046372A" w:rsidRPr="0046372A" w14:paraId="441DB935" w14:textId="77777777" w:rsidTr="0046372A">
        <w:trPr>
          <w:trHeight w:val="288"/>
        </w:trPr>
        <w:tc>
          <w:tcPr>
            <w:tcW w:w="0" w:type="auto"/>
            <w:tcBorders>
              <w:top w:val="nil"/>
              <w:left w:val="nil"/>
              <w:bottom w:val="nil"/>
              <w:right w:val="nil"/>
            </w:tcBorders>
            <w:shd w:val="clear" w:color="000000" w:fill="FFFFFF"/>
            <w:noWrap/>
            <w:vAlign w:val="bottom"/>
            <w:hideMark/>
          </w:tcPr>
          <w:p w14:paraId="3BD554E0"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 xml:space="preserve">Agri. Casual </w:t>
            </w:r>
            <w:proofErr w:type="spellStart"/>
            <w:r w:rsidRPr="00311AB2">
              <w:rPr>
                <w:rFonts w:ascii="Calibri" w:eastAsia="Times New Roman" w:hAnsi="Calibri" w:cs="Calibri"/>
                <w:i/>
                <w:iCs/>
                <w:color w:val="000000"/>
                <w:sz w:val="18"/>
                <w:szCs w:val="18"/>
                <w:lang w:val="fr-FR" w:eastAsia="fr-FR"/>
              </w:rPr>
              <w:t>workers</w:t>
            </w:r>
            <w:proofErr w:type="spellEnd"/>
          </w:p>
        </w:tc>
        <w:tc>
          <w:tcPr>
            <w:tcW w:w="0" w:type="auto"/>
            <w:tcBorders>
              <w:top w:val="nil"/>
              <w:left w:val="nil"/>
              <w:bottom w:val="nil"/>
              <w:right w:val="nil"/>
            </w:tcBorders>
            <w:shd w:val="clear" w:color="000000" w:fill="FFFFFF"/>
            <w:noWrap/>
            <w:vAlign w:val="bottom"/>
            <w:hideMark/>
          </w:tcPr>
          <w:p w14:paraId="0225D73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35.48</w:t>
            </w:r>
          </w:p>
        </w:tc>
        <w:tc>
          <w:tcPr>
            <w:tcW w:w="0" w:type="auto"/>
            <w:tcBorders>
              <w:top w:val="nil"/>
              <w:left w:val="nil"/>
              <w:bottom w:val="nil"/>
              <w:right w:val="nil"/>
            </w:tcBorders>
            <w:shd w:val="clear" w:color="000000" w:fill="FFFFFF"/>
            <w:noWrap/>
            <w:vAlign w:val="bottom"/>
            <w:hideMark/>
          </w:tcPr>
          <w:p w14:paraId="00BF0C0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35.02</w:t>
            </w:r>
          </w:p>
        </w:tc>
        <w:tc>
          <w:tcPr>
            <w:tcW w:w="0" w:type="auto"/>
            <w:tcBorders>
              <w:top w:val="nil"/>
              <w:left w:val="nil"/>
              <w:bottom w:val="nil"/>
              <w:right w:val="nil"/>
            </w:tcBorders>
            <w:shd w:val="clear" w:color="000000" w:fill="FFFFFF"/>
            <w:noWrap/>
            <w:vAlign w:val="bottom"/>
            <w:hideMark/>
          </w:tcPr>
          <w:p w14:paraId="3C3D9D0C"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22BEB5C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21.53</w:t>
            </w:r>
          </w:p>
        </w:tc>
        <w:tc>
          <w:tcPr>
            <w:tcW w:w="0" w:type="auto"/>
            <w:tcBorders>
              <w:top w:val="nil"/>
              <w:left w:val="nil"/>
              <w:bottom w:val="nil"/>
              <w:right w:val="nil"/>
            </w:tcBorders>
            <w:shd w:val="clear" w:color="000000" w:fill="FFFFFF"/>
            <w:noWrap/>
            <w:vAlign w:val="bottom"/>
            <w:hideMark/>
          </w:tcPr>
          <w:p w14:paraId="0950C45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11.41</w:t>
            </w:r>
          </w:p>
        </w:tc>
        <w:tc>
          <w:tcPr>
            <w:tcW w:w="0" w:type="auto"/>
            <w:tcBorders>
              <w:top w:val="nil"/>
              <w:left w:val="nil"/>
              <w:bottom w:val="nil"/>
              <w:right w:val="nil"/>
            </w:tcBorders>
            <w:shd w:val="clear" w:color="000000" w:fill="FFFFFF"/>
            <w:noWrap/>
            <w:vAlign w:val="bottom"/>
            <w:hideMark/>
          </w:tcPr>
          <w:p w14:paraId="7A896C7C"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513CF4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7.69</w:t>
            </w:r>
          </w:p>
        </w:tc>
        <w:tc>
          <w:tcPr>
            <w:tcW w:w="0" w:type="auto"/>
            <w:tcBorders>
              <w:top w:val="nil"/>
              <w:left w:val="nil"/>
              <w:bottom w:val="nil"/>
              <w:right w:val="nil"/>
            </w:tcBorders>
            <w:shd w:val="clear" w:color="000000" w:fill="FFFFFF"/>
            <w:noWrap/>
            <w:vAlign w:val="bottom"/>
            <w:hideMark/>
          </w:tcPr>
          <w:p w14:paraId="6404995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6.25</w:t>
            </w:r>
          </w:p>
        </w:tc>
        <w:tc>
          <w:tcPr>
            <w:tcW w:w="0" w:type="auto"/>
            <w:tcBorders>
              <w:top w:val="nil"/>
              <w:left w:val="nil"/>
              <w:bottom w:val="nil"/>
              <w:right w:val="nil"/>
            </w:tcBorders>
            <w:shd w:val="clear" w:color="000000" w:fill="FFFFFF"/>
            <w:noWrap/>
            <w:vAlign w:val="bottom"/>
            <w:hideMark/>
          </w:tcPr>
          <w:p w14:paraId="1F7C36D7"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B50967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25.82</w:t>
            </w:r>
          </w:p>
        </w:tc>
        <w:tc>
          <w:tcPr>
            <w:tcW w:w="0" w:type="auto"/>
            <w:tcBorders>
              <w:top w:val="nil"/>
              <w:left w:val="nil"/>
              <w:bottom w:val="nil"/>
              <w:right w:val="nil"/>
            </w:tcBorders>
            <w:shd w:val="clear" w:color="000000" w:fill="FFFFFF"/>
            <w:noWrap/>
            <w:vAlign w:val="bottom"/>
            <w:hideMark/>
          </w:tcPr>
          <w:p w14:paraId="5DA9548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22.27</w:t>
            </w:r>
          </w:p>
        </w:tc>
      </w:tr>
      <w:tr w:rsidR="0046372A" w:rsidRPr="0046372A" w14:paraId="4B8A40DD" w14:textId="77777777" w:rsidTr="0046372A">
        <w:trPr>
          <w:trHeight w:val="288"/>
        </w:trPr>
        <w:tc>
          <w:tcPr>
            <w:tcW w:w="0" w:type="auto"/>
            <w:tcBorders>
              <w:top w:val="nil"/>
              <w:left w:val="nil"/>
              <w:bottom w:val="nil"/>
              <w:right w:val="nil"/>
            </w:tcBorders>
            <w:shd w:val="clear" w:color="000000" w:fill="FFFFFF"/>
            <w:noWrap/>
            <w:vAlign w:val="bottom"/>
            <w:hideMark/>
          </w:tcPr>
          <w:p w14:paraId="4356F621"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 xml:space="preserve">Casual </w:t>
            </w:r>
            <w:proofErr w:type="spellStart"/>
            <w:r w:rsidRPr="00311AB2">
              <w:rPr>
                <w:rFonts w:ascii="Calibri" w:eastAsia="Times New Roman" w:hAnsi="Calibri" w:cs="Calibri"/>
                <w:i/>
                <w:iCs/>
                <w:color w:val="000000"/>
                <w:sz w:val="18"/>
                <w:szCs w:val="18"/>
                <w:lang w:val="fr-FR" w:eastAsia="fr-FR"/>
              </w:rPr>
              <w:t>workers</w:t>
            </w:r>
            <w:proofErr w:type="spellEnd"/>
          </w:p>
        </w:tc>
        <w:tc>
          <w:tcPr>
            <w:tcW w:w="0" w:type="auto"/>
            <w:tcBorders>
              <w:top w:val="nil"/>
              <w:left w:val="nil"/>
              <w:bottom w:val="nil"/>
              <w:right w:val="nil"/>
            </w:tcBorders>
            <w:shd w:val="clear" w:color="000000" w:fill="FFFFFF"/>
            <w:noWrap/>
            <w:vAlign w:val="bottom"/>
            <w:hideMark/>
          </w:tcPr>
          <w:p w14:paraId="7A2D1B9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25.81</w:t>
            </w:r>
          </w:p>
        </w:tc>
        <w:tc>
          <w:tcPr>
            <w:tcW w:w="0" w:type="auto"/>
            <w:tcBorders>
              <w:top w:val="nil"/>
              <w:left w:val="nil"/>
              <w:bottom w:val="nil"/>
              <w:right w:val="nil"/>
            </w:tcBorders>
            <w:shd w:val="clear" w:color="000000" w:fill="FFFFFF"/>
            <w:noWrap/>
            <w:vAlign w:val="bottom"/>
            <w:hideMark/>
          </w:tcPr>
          <w:p w14:paraId="2F88544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19.82</w:t>
            </w:r>
          </w:p>
        </w:tc>
        <w:tc>
          <w:tcPr>
            <w:tcW w:w="0" w:type="auto"/>
            <w:tcBorders>
              <w:top w:val="nil"/>
              <w:left w:val="nil"/>
              <w:bottom w:val="nil"/>
              <w:right w:val="nil"/>
            </w:tcBorders>
            <w:shd w:val="clear" w:color="000000" w:fill="FFFFFF"/>
            <w:noWrap/>
            <w:vAlign w:val="bottom"/>
            <w:hideMark/>
          </w:tcPr>
          <w:p w14:paraId="1C15511A"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78D5263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17.36</w:t>
            </w:r>
          </w:p>
        </w:tc>
        <w:tc>
          <w:tcPr>
            <w:tcW w:w="0" w:type="auto"/>
            <w:tcBorders>
              <w:top w:val="nil"/>
              <w:left w:val="nil"/>
              <w:bottom w:val="nil"/>
              <w:right w:val="nil"/>
            </w:tcBorders>
            <w:shd w:val="clear" w:color="000000" w:fill="FFFFFF"/>
            <w:noWrap/>
            <w:vAlign w:val="bottom"/>
            <w:hideMark/>
          </w:tcPr>
          <w:p w14:paraId="2427E8A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13.59</w:t>
            </w:r>
          </w:p>
        </w:tc>
        <w:tc>
          <w:tcPr>
            <w:tcW w:w="0" w:type="auto"/>
            <w:tcBorders>
              <w:top w:val="nil"/>
              <w:left w:val="nil"/>
              <w:bottom w:val="nil"/>
              <w:right w:val="nil"/>
            </w:tcBorders>
            <w:shd w:val="clear" w:color="000000" w:fill="FFFFFF"/>
            <w:noWrap/>
            <w:vAlign w:val="bottom"/>
            <w:hideMark/>
          </w:tcPr>
          <w:p w14:paraId="2A15B620"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DF8A07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4.62</w:t>
            </w:r>
          </w:p>
        </w:tc>
        <w:tc>
          <w:tcPr>
            <w:tcW w:w="0" w:type="auto"/>
            <w:tcBorders>
              <w:top w:val="nil"/>
              <w:left w:val="nil"/>
              <w:bottom w:val="nil"/>
              <w:right w:val="nil"/>
            </w:tcBorders>
            <w:shd w:val="clear" w:color="000000" w:fill="FFFFFF"/>
            <w:noWrap/>
            <w:vAlign w:val="bottom"/>
            <w:hideMark/>
          </w:tcPr>
          <w:p w14:paraId="66311A4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2.08</w:t>
            </w:r>
          </w:p>
        </w:tc>
        <w:tc>
          <w:tcPr>
            <w:tcW w:w="0" w:type="auto"/>
            <w:tcBorders>
              <w:top w:val="nil"/>
              <w:left w:val="nil"/>
              <w:bottom w:val="nil"/>
              <w:right w:val="nil"/>
            </w:tcBorders>
            <w:shd w:val="clear" w:color="000000" w:fill="FFFFFF"/>
            <w:noWrap/>
            <w:vAlign w:val="bottom"/>
            <w:hideMark/>
          </w:tcPr>
          <w:p w14:paraId="04CAB55F"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F9CB63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19.24</w:t>
            </w:r>
          </w:p>
        </w:tc>
        <w:tc>
          <w:tcPr>
            <w:tcW w:w="0" w:type="auto"/>
            <w:tcBorders>
              <w:top w:val="nil"/>
              <w:left w:val="nil"/>
              <w:bottom w:val="nil"/>
              <w:right w:val="nil"/>
            </w:tcBorders>
            <w:shd w:val="clear" w:color="000000" w:fill="FFFFFF"/>
            <w:noWrap/>
            <w:vAlign w:val="bottom"/>
            <w:hideMark/>
          </w:tcPr>
          <w:p w14:paraId="6A07E28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15.37</w:t>
            </w:r>
          </w:p>
        </w:tc>
      </w:tr>
      <w:tr w:rsidR="0046372A" w:rsidRPr="0046372A" w14:paraId="1EF1310B" w14:textId="77777777" w:rsidTr="0046372A">
        <w:trPr>
          <w:trHeight w:val="288"/>
        </w:trPr>
        <w:tc>
          <w:tcPr>
            <w:tcW w:w="0" w:type="auto"/>
            <w:tcBorders>
              <w:top w:val="nil"/>
              <w:left w:val="nil"/>
              <w:bottom w:val="nil"/>
              <w:right w:val="nil"/>
            </w:tcBorders>
            <w:shd w:val="clear" w:color="000000" w:fill="FFFFFF"/>
            <w:noWrap/>
            <w:vAlign w:val="bottom"/>
            <w:hideMark/>
          </w:tcPr>
          <w:p w14:paraId="11E746BD"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Regular non-</w:t>
            </w:r>
            <w:proofErr w:type="spellStart"/>
            <w:r w:rsidRPr="00311AB2">
              <w:rPr>
                <w:rFonts w:ascii="Calibri" w:eastAsia="Times New Roman" w:hAnsi="Calibri" w:cs="Calibri"/>
                <w:i/>
                <w:iCs/>
                <w:color w:val="000000"/>
                <w:sz w:val="18"/>
                <w:szCs w:val="18"/>
                <w:lang w:val="fr-FR" w:eastAsia="fr-FR"/>
              </w:rPr>
              <w:t>qualified</w:t>
            </w:r>
            <w:proofErr w:type="spellEnd"/>
            <w:r w:rsidRPr="00311AB2">
              <w:rPr>
                <w:rFonts w:ascii="Calibri" w:eastAsia="Times New Roman" w:hAnsi="Calibri" w:cs="Calibri"/>
                <w:i/>
                <w:iCs/>
                <w:color w:val="000000"/>
                <w:sz w:val="18"/>
                <w:szCs w:val="18"/>
                <w:lang w:val="fr-FR" w:eastAsia="fr-FR"/>
              </w:rPr>
              <w:t xml:space="preserve"> </w:t>
            </w:r>
            <w:proofErr w:type="spellStart"/>
            <w:r w:rsidRPr="00311AB2">
              <w:rPr>
                <w:rFonts w:ascii="Calibri" w:eastAsia="Times New Roman" w:hAnsi="Calibri" w:cs="Calibri"/>
                <w:i/>
                <w:iCs/>
                <w:color w:val="000000"/>
                <w:sz w:val="18"/>
                <w:szCs w:val="18"/>
                <w:lang w:val="fr-FR" w:eastAsia="fr-FR"/>
              </w:rPr>
              <w:t>workers</w:t>
            </w:r>
            <w:proofErr w:type="spellEnd"/>
          </w:p>
        </w:tc>
        <w:tc>
          <w:tcPr>
            <w:tcW w:w="0" w:type="auto"/>
            <w:tcBorders>
              <w:top w:val="nil"/>
              <w:left w:val="nil"/>
              <w:bottom w:val="nil"/>
              <w:right w:val="nil"/>
            </w:tcBorders>
            <w:shd w:val="clear" w:color="000000" w:fill="FFFFFF"/>
            <w:noWrap/>
            <w:vAlign w:val="bottom"/>
            <w:hideMark/>
          </w:tcPr>
          <w:p w14:paraId="70917C1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4.30</w:t>
            </w:r>
          </w:p>
        </w:tc>
        <w:tc>
          <w:tcPr>
            <w:tcW w:w="0" w:type="auto"/>
            <w:tcBorders>
              <w:top w:val="nil"/>
              <w:left w:val="nil"/>
              <w:bottom w:val="nil"/>
              <w:right w:val="nil"/>
            </w:tcBorders>
            <w:shd w:val="clear" w:color="000000" w:fill="FFFFFF"/>
            <w:noWrap/>
            <w:vAlign w:val="bottom"/>
            <w:hideMark/>
          </w:tcPr>
          <w:p w14:paraId="1851E6AE"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15.21</w:t>
            </w:r>
          </w:p>
        </w:tc>
        <w:tc>
          <w:tcPr>
            <w:tcW w:w="0" w:type="auto"/>
            <w:tcBorders>
              <w:top w:val="nil"/>
              <w:left w:val="nil"/>
              <w:bottom w:val="nil"/>
              <w:right w:val="nil"/>
            </w:tcBorders>
            <w:shd w:val="clear" w:color="000000" w:fill="FFFFFF"/>
            <w:noWrap/>
            <w:vAlign w:val="bottom"/>
            <w:hideMark/>
          </w:tcPr>
          <w:p w14:paraId="190B6BC4"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6320DC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7.64</w:t>
            </w:r>
          </w:p>
        </w:tc>
        <w:tc>
          <w:tcPr>
            <w:tcW w:w="0" w:type="auto"/>
            <w:tcBorders>
              <w:top w:val="nil"/>
              <w:left w:val="nil"/>
              <w:bottom w:val="nil"/>
              <w:right w:val="nil"/>
            </w:tcBorders>
            <w:shd w:val="clear" w:color="000000" w:fill="FFFFFF"/>
            <w:noWrap/>
            <w:vAlign w:val="bottom"/>
            <w:hideMark/>
          </w:tcPr>
          <w:p w14:paraId="2947616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17.39</w:t>
            </w:r>
          </w:p>
        </w:tc>
        <w:tc>
          <w:tcPr>
            <w:tcW w:w="0" w:type="auto"/>
            <w:tcBorders>
              <w:top w:val="nil"/>
              <w:left w:val="nil"/>
              <w:bottom w:val="nil"/>
              <w:right w:val="nil"/>
            </w:tcBorders>
            <w:shd w:val="clear" w:color="000000" w:fill="FFFFFF"/>
            <w:noWrap/>
            <w:vAlign w:val="bottom"/>
            <w:hideMark/>
          </w:tcPr>
          <w:p w14:paraId="326FE17E"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92A600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7.69</w:t>
            </w:r>
          </w:p>
        </w:tc>
        <w:tc>
          <w:tcPr>
            <w:tcW w:w="0" w:type="auto"/>
            <w:tcBorders>
              <w:top w:val="nil"/>
              <w:left w:val="nil"/>
              <w:bottom w:val="nil"/>
              <w:right w:val="nil"/>
            </w:tcBorders>
            <w:shd w:val="clear" w:color="000000" w:fill="FFFFFF"/>
            <w:noWrap/>
            <w:vAlign w:val="bottom"/>
            <w:hideMark/>
          </w:tcPr>
          <w:p w14:paraId="39B31B2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20.83</w:t>
            </w:r>
          </w:p>
        </w:tc>
        <w:tc>
          <w:tcPr>
            <w:tcW w:w="0" w:type="auto"/>
            <w:tcBorders>
              <w:top w:val="nil"/>
              <w:left w:val="nil"/>
              <w:bottom w:val="nil"/>
              <w:right w:val="nil"/>
            </w:tcBorders>
            <w:shd w:val="clear" w:color="000000" w:fill="FFFFFF"/>
            <w:noWrap/>
            <w:vAlign w:val="bottom"/>
            <w:hideMark/>
          </w:tcPr>
          <w:p w14:paraId="27247D02"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DDC7C2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6.08</w:t>
            </w:r>
          </w:p>
        </w:tc>
        <w:tc>
          <w:tcPr>
            <w:tcW w:w="0" w:type="auto"/>
            <w:tcBorders>
              <w:top w:val="nil"/>
              <w:left w:val="nil"/>
              <w:bottom w:val="nil"/>
              <w:right w:val="nil"/>
            </w:tcBorders>
            <w:shd w:val="clear" w:color="000000" w:fill="FFFFFF"/>
            <w:noWrap/>
            <w:vAlign w:val="bottom"/>
            <w:hideMark/>
          </w:tcPr>
          <w:p w14:paraId="4E9400D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16.70</w:t>
            </w:r>
          </w:p>
        </w:tc>
      </w:tr>
      <w:tr w:rsidR="0046372A" w:rsidRPr="0046372A" w14:paraId="1B3E9564" w14:textId="77777777" w:rsidTr="0046372A">
        <w:trPr>
          <w:trHeight w:val="288"/>
        </w:trPr>
        <w:tc>
          <w:tcPr>
            <w:tcW w:w="0" w:type="auto"/>
            <w:tcBorders>
              <w:top w:val="nil"/>
              <w:left w:val="nil"/>
              <w:bottom w:val="nil"/>
              <w:right w:val="nil"/>
            </w:tcBorders>
            <w:shd w:val="clear" w:color="000000" w:fill="FFFFFF"/>
            <w:noWrap/>
            <w:vAlign w:val="bottom"/>
            <w:hideMark/>
          </w:tcPr>
          <w:p w14:paraId="25F32CEB"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 xml:space="preserve">Regular </w:t>
            </w:r>
            <w:proofErr w:type="spellStart"/>
            <w:r w:rsidRPr="00311AB2">
              <w:rPr>
                <w:rFonts w:ascii="Calibri" w:eastAsia="Times New Roman" w:hAnsi="Calibri" w:cs="Calibri"/>
                <w:i/>
                <w:iCs/>
                <w:color w:val="000000"/>
                <w:sz w:val="18"/>
                <w:szCs w:val="18"/>
                <w:lang w:val="fr-FR" w:eastAsia="fr-FR"/>
              </w:rPr>
              <w:t>qualified</w:t>
            </w:r>
            <w:proofErr w:type="spellEnd"/>
            <w:r w:rsidRPr="00311AB2">
              <w:rPr>
                <w:rFonts w:ascii="Calibri" w:eastAsia="Times New Roman" w:hAnsi="Calibri" w:cs="Calibri"/>
                <w:i/>
                <w:iCs/>
                <w:color w:val="000000"/>
                <w:sz w:val="18"/>
                <w:szCs w:val="18"/>
                <w:lang w:val="fr-FR" w:eastAsia="fr-FR"/>
              </w:rPr>
              <w:t xml:space="preserve"> </w:t>
            </w:r>
            <w:proofErr w:type="spellStart"/>
            <w:r w:rsidRPr="00311AB2">
              <w:rPr>
                <w:rFonts w:ascii="Calibri" w:eastAsia="Times New Roman" w:hAnsi="Calibri" w:cs="Calibri"/>
                <w:i/>
                <w:iCs/>
                <w:color w:val="000000"/>
                <w:sz w:val="18"/>
                <w:szCs w:val="18"/>
                <w:lang w:val="fr-FR" w:eastAsia="fr-FR"/>
              </w:rPr>
              <w:t>workers</w:t>
            </w:r>
            <w:proofErr w:type="spellEnd"/>
          </w:p>
        </w:tc>
        <w:tc>
          <w:tcPr>
            <w:tcW w:w="0" w:type="auto"/>
            <w:tcBorders>
              <w:top w:val="nil"/>
              <w:left w:val="nil"/>
              <w:bottom w:val="nil"/>
              <w:right w:val="nil"/>
            </w:tcBorders>
            <w:shd w:val="clear" w:color="000000" w:fill="FFFFFF"/>
            <w:noWrap/>
            <w:vAlign w:val="bottom"/>
            <w:hideMark/>
          </w:tcPr>
          <w:p w14:paraId="7D0EF681"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2.69</w:t>
            </w:r>
          </w:p>
        </w:tc>
        <w:tc>
          <w:tcPr>
            <w:tcW w:w="0" w:type="auto"/>
            <w:tcBorders>
              <w:top w:val="nil"/>
              <w:left w:val="nil"/>
              <w:bottom w:val="nil"/>
              <w:right w:val="nil"/>
            </w:tcBorders>
            <w:shd w:val="clear" w:color="000000" w:fill="FFFFFF"/>
            <w:noWrap/>
            <w:vAlign w:val="bottom"/>
            <w:hideMark/>
          </w:tcPr>
          <w:p w14:paraId="4213A97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0.92</w:t>
            </w:r>
          </w:p>
        </w:tc>
        <w:tc>
          <w:tcPr>
            <w:tcW w:w="0" w:type="auto"/>
            <w:tcBorders>
              <w:top w:val="nil"/>
              <w:left w:val="nil"/>
              <w:bottom w:val="nil"/>
              <w:right w:val="nil"/>
            </w:tcBorders>
            <w:shd w:val="clear" w:color="000000" w:fill="FFFFFF"/>
            <w:noWrap/>
            <w:vAlign w:val="bottom"/>
            <w:hideMark/>
          </w:tcPr>
          <w:p w14:paraId="0759757B"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DFCA017"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2.78</w:t>
            </w:r>
          </w:p>
        </w:tc>
        <w:tc>
          <w:tcPr>
            <w:tcW w:w="0" w:type="auto"/>
            <w:tcBorders>
              <w:top w:val="nil"/>
              <w:left w:val="nil"/>
              <w:bottom w:val="nil"/>
              <w:right w:val="nil"/>
            </w:tcBorders>
            <w:shd w:val="clear" w:color="000000" w:fill="FFFFFF"/>
            <w:noWrap/>
            <w:vAlign w:val="bottom"/>
            <w:hideMark/>
          </w:tcPr>
          <w:p w14:paraId="2F9652D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2.72</w:t>
            </w:r>
          </w:p>
        </w:tc>
        <w:tc>
          <w:tcPr>
            <w:tcW w:w="0" w:type="auto"/>
            <w:tcBorders>
              <w:top w:val="nil"/>
              <w:left w:val="nil"/>
              <w:bottom w:val="nil"/>
              <w:right w:val="nil"/>
            </w:tcBorders>
            <w:shd w:val="clear" w:color="000000" w:fill="FFFFFF"/>
            <w:noWrap/>
            <w:vAlign w:val="bottom"/>
            <w:hideMark/>
          </w:tcPr>
          <w:p w14:paraId="34F5F78D"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5B269B1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4.62</w:t>
            </w:r>
          </w:p>
        </w:tc>
        <w:tc>
          <w:tcPr>
            <w:tcW w:w="0" w:type="auto"/>
            <w:tcBorders>
              <w:top w:val="nil"/>
              <w:left w:val="nil"/>
              <w:bottom w:val="nil"/>
              <w:right w:val="nil"/>
            </w:tcBorders>
            <w:shd w:val="clear" w:color="000000" w:fill="FFFFFF"/>
            <w:noWrap/>
            <w:vAlign w:val="bottom"/>
            <w:hideMark/>
          </w:tcPr>
          <w:p w14:paraId="7318840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4.17</w:t>
            </w:r>
          </w:p>
        </w:tc>
        <w:tc>
          <w:tcPr>
            <w:tcW w:w="0" w:type="auto"/>
            <w:tcBorders>
              <w:top w:val="nil"/>
              <w:left w:val="nil"/>
              <w:bottom w:val="nil"/>
              <w:right w:val="nil"/>
            </w:tcBorders>
            <w:shd w:val="clear" w:color="000000" w:fill="FFFFFF"/>
            <w:noWrap/>
            <w:vAlign w:val="bottom"/>
            <w:hideMark/>
          </w:tcPr>
          <w:p w14:paraId="0E8E66CD"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080A80F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3.04</w:t>
            </w:r>
          </w:p>
        </w:tc>
        <w:tc>
          <w:tcPr>
            <w:tcW w:w="0" w:type="auto"/>
            <w:tcBorders>
              <w:top w:val="nil"/>
              <w:left w:val="nil"/>
              <w:bottom w:val="nil"/>
              <w:right w:val="nil"/>
            </w:tcBorders>
            <w:shd w:val="clear" w:color="000000" w:fill="FFFFFF"/>
            <w:noWrap/>
            <w:vAlign w:val="bottom"/>
            <w:hideMark/>
          </w:tcPr>
          <w:p w14:paraId="160364CC"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2.00</w:t>
            </w:r>
          </w:p>
        </w:tc>
      </w:tr>
      <w:tr w:rsidR="0046372A" w:rsidRPr="0046372A" w14:paraId="61D0C6DB" w14:textId="77777777" w:rsidTr="0046372A">
        <w:trPr>
          <w:trHeight w:val="288"/>
        </w:trPr>
        <w:tc>
          <w:tcPr>
            <w:tcW w:w="0" w:type="auto"/>
            <w:tcBorders>
              <w:top w:val="nil"/>
              <w:left w:val="nil"/>
              <w:bottom w:val="nil"/>
              <w:right w:val="nil"/>
            </w:tcBorders>
            <w:shd w:val="clear" w:color="000000" w:fill="FFFFFF"/>
            <w:noWrap/>
            <w:vAlign w:val="bottom"/>
            <w:hideMark/>
          </w:tcPr>
          <w:p w14:paraId="4AF5E868"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SE</w:t>
            </w:r>
          </w:p>
        </w:tc>
        <w:tc>
          <w:tcPr>
            <w:tcW w:w="0" w:type="auto"/>
            <w:tcBorders>
              <w:top w:val="nil"/>
              <w:left w:val="nil"/>
              <w:bottom w:val="nil"/>
              <w:right w:val="nil"/>
            </w:tcBorders>
            <w:shd w:val="clear" w:color="000000" w:fill="FFFFFF"/>
            <w:noWrap/>
            <w:vAlign w:val="bottom"/>
            <w:hideMark/>
          </w:tcPr>
          <w:p w14:paraId="56E1B7C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15.05</w:t>
            </w:r>
          </w:p>
        </w:tc>
        <w:tc>
          <w:tcPr>
            <w:tcW w:w="0" w:type="auto"/>
            <w:tcBorders>
              <w:top w:val="nil"/>
              <w:left w:val="nil"/>
              <w:bottom w:val="nil"/>
              <w:right w:val="nil"/>
            </w:tcBorders>
            <w:shd w:val="clear" w:color="000000" w:fill="FFFFFF"/>
            <w:noWrap/>
            <w:vAlign w:val="bottom"/>
            <w:hideMark/>
          </w:tcPr>
          <w:p w14:paraId="2C53E02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12.44</w:t>
            </w:r>
          </w:p>
        </w:tc>
        <w:tc>
          <w:tcPr>
            <w:tcW w:w="0" w:type="auto"/>
            <w:tcBorders>
              <w:top w:val="nil"/>
              <w:left w:val="nil"/>
              <w:bottom w:val="nil"/>
              <w:right w:val="nil"/>
            </w:tcBorders>
            <w:shd w:val="clear" w:color="000000" w:fill="FFFFFF"/>
            <w:noWrap/>
            <w:vAlign w:val="bottom"/>
            <w:hideMark/>
          </w:tcPr>
          <w:p w14:paraId="28CBEF7F"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32AFAA1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13.19</w:t>
            </w:r>
          </w:p>
        </w:tc>
        <w:tc>
          <w:tcPr>
            <w:tcW w:w="0" w:type="auto"/>
            <w:tcBorders>
              <w:top w:val="nil"/>
              <w:left w:val="nil"/>
              <w:bottom w:val="nil"/>
              <w:right w:val="nil"/>
            </w:tcBorders>
            <w:shd w:val="clear" w:color="000000" w:fill="FFFFFF"/>
            <w:noWrap/>
            <w:vAlign w:val="bottom"/>
            <w:hideMark/>
          </w:tcPr>
          <w:p w14:paraId="181DDF3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17.93</w:t>
            </w:r>
          </w:p>
        </w:tc>
        <w:tc>
          <w:tcPr>
            <w:tcW w:w="0" w:type="auto"/>
            <w:tcBorders>
              <w:top w:val="nil"/>
              <w:left w:val="nil"/>
              <w:bottom w:val="nil"/>
              <w:right w:val="nil"/>
            </w:tcBorders>
            <w:shd w:val="clear" w:color="000000" w:fill="FFFFFF"/>
            <w:noWrap/>
            <w:vAlign w:val="bottom"/>
            <w:hideMark/>
          </w:tcPr>
          <w:p w14:paraId="4D0A3D04"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1CD3A71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43.08</w:t>
            </w:r>
          </w:p>
        </w:tc>
        <w:tc>
          <w:tcPr>
            <w:tcW w:w="0" w:type="auto"/>
            <w:tcBorders>
              <w:top w:val="nil"/>
              <w:left w:val="nil"/>
              <w:bottom w:val="nil"/>
              <w:right w:val="nil"/>
            </w:tcBorders>
            <w:shd w:val="clear" w:color="000000" w:fill="FFFFFF"/>
            <w:noWrap/>
            <w:vAlign w:val="bottom"/>
            <w:hideMark/>
          </w:tcPr>
          <w:p w14:paraId="7EBDA84B"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41.67</w:t>
            </w:r>
          </w:p>
        </w:tc>
        <w:tc>
          <w:tcPr>
            <w:tcW w:w="0" w:type="auto"/>
            <w:tcBorders>
              <w:top w:val="nil"/>
              <w:left w:val="nil"/>
              <w:bottom w:val="nil"/>
              <w:right w:val="nil"/>
            </w:tcBorders>
            <w:shd w:val="clear" w:color="000000" w:fill="FFFFFF"/>
            <w:noWrap/>
            <w:vAlign w:val="bottom"/>
            <w:hideMark/>
          </w:tcPr>
          <w:p w14:paraId="4CEE3304" w14:textId="77777777" w:rsidR="00311AB2" w:rsidRPr="00311AB2" w:rsidRDefault="00311AB2" w:rsidP="0046372A">
            <w:pPr>
              <w:spacing w:after="0"/>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000000" w:fill="FFFFFF"/>
            <w:noWrap/>
            <w:vAlign w:val="bottom"/>
            <w:hideMark/>
          </w:tcPr>
          <w:p w14:paraId="6927FE56"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18.99</w:t>
            </w:r>
          </w:p>
        </w:tc>
        <w:tc>
          <w:tcPr>
            <w:tcW w:w="0" w:type="auto"/>
            <w:tcBorders>
              <w:top w:val="nil"/>
              <w:left w:val="nil"/>
              <w:bottom w:val="nil"/>
              <w:right w:val="nil"/>
            </w:tcBorders>
            <w:shd w:val="clear" w:color="000000" w:fill="FFFFFF"/>
            <w:noWrap/>
            <w:vAlign w:val="bottom"/>
            <w:hideMark/>
          </w:tcPr>
          <w:p w14:paraId="3E5519E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17.82</w:t>
            </w:r>
          </w:p>
        </w:tc>
      </w:tr>
      <w:tr w:rsidR="0046372A" w:rsidRPr="0046372A" w14:paraId="053104EC" w14:textId="77777777" w:rsidTr="0046372A">
        <w:trPr>
          <w:trHeight w:val="288"/>
        </w:trPr>
        <w:tc>
          <w:tcPr>
            <w:tcW w:w="0" w:type="auto"/>
            <w:tcBorders>
              <w:top w:val="nil"/>
              <w:left w:val="nil"/>
              <w:bottom w:val="single" w:sz="4" w:space="0" w:color="auto"/>
              <w:right w:val="nil"/>
            </w:tcBorders>
            <w:shd w:val="clear" w:color="000000" w:fill="FFFFFF"/>
            <w:noWrap/>
            <w:vAlign w:val="bottom"/>
            <w:hideMark/>
          </w:tcPr>
          <w:p w14:paraId="2169A204" w14:textId="77777777" w:rsidR="00311AB2" w:rsidRPr="00311AB2" w:rsidRDefault="00311AB2" w:rsidP="0046372A">
            <w:pPr>
              <w:spacing w:after="0"/>
              <w:ind w:firstLineChars="100" w:firstLine="180"/>
              <w:rPr>
                <w:rFonts w:ascii="Calibri" w:eastAsia="Times New Roman" w:hAnsi="Calibri" w:cs="Calibri"/>
                <w:i/>
                <w:iCs/>
                <w:color w:val="000000"/>
                <w:sz w:val="18"/>
                <w:szCs w:val="18"/>
                <w:lang w:val="fr-FR" w:eastAsia="fr-FR"/>
              </w:rPr>
            </w:pPr>
            <w:r w:rsidRPr="00311AB2">
              <w:rPr>
                <w:rFonts w:ascii="Calibri" w:eastAsia="Times New Roman" w:hAnsi="Calibri" w:cs="Calibri"/>
                <w:i/>
                <w:iCs/>
                <w:color w:val="000000"/>
                <w:sz w:val="18"/>
                <w:szCs w:val="18"/>
                <w:lang w:val="fr-FR" w:eastAsia="fr-FR"/>
              </w:rPr>
              <w:t>NREGA</w:t>
            </w:r>
          </w:p>
        </w:tc>
        <w:tc>
          <w:tcPr>
            <w:tcW w:w="0" w:type="auto"/>
            <w:tcBorders>
              <w:top w:val="nil"/>
              <w:left w:val="nil"/>
              <w:bottom w:val="single" w:sz="4" w:space="0" w:color="auto"/>
              <w:right w:val="nil"/>
            </w:tcBorders>
            <w:shd w:val="clear" w:color="000000" w:fill="FFFFFF"/>
            <w:noWrap/>
            <w:vAlign w:val="bottom"/>
            <w:hideMark/>
          </w:tcPr>
          <w:p w14:paraId="6C7940DA"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w:t>
            </w:r>
          </w:p>
        </w:tc>
        <w:tc>
          <w:tcPr>
            <w:tcW w:w="0" w:type="auto"/>
            <w:tcBorders>
              <w:top w:val="nil"/>
              <w:left w:val="nil"/>
              <w:bottom w:val="single" w:sz="4" w:space="0" w:color="auto"/>
              <w:right w:val="nil"/>
            </w:tcBorders>
            <w:shd w:val="clear" w:color="000000" w:fill="FFFFFF"/>
            <w:noWrap/>
            <w:vAlign w:val="bottom"/>
            <w:hideMark/>
          </w:tcPr>
          <w:p w14:paraId="02B9DD64"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5.07</w:t>
            </w:r>
          </w:p>
        </w:tc>
        <w:tc>
          <w:tcPr>
            <w:tcW w:w="0" w:type="auto"/>
            <w:tcBorders>
              <w:top w:val="nil"/>
              <w:left w:val="nil"/>
              <w:bottom w:val="single" w:sz="4" w:space="0" w:color="auto"/>
              <w:right w:val="nil"/>
            </w:tcBorders>
            <w:shd w:val="clear" w:color="000000" w:fill="FFFFFF"/>
            <w:noWrap/>
            <w:vAlign w:val="bottom"/>
            <w:hideMark/>
          </w:tcPr>
          <w:p w14:paraId="2F6EF1E9"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4E43546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w:t>
            </w:r>
          </w:p>
        </w:tc>
        <w:tc>
          <w:tcPr>
            <w:tcW w:w="0" w:type="auto"/>
            <w:tcBorders>
              <w:top w:val="nil"/>
              <w:left w:val="nil"/>
              <w:bottom w:val="single" w:sz="4" w:space="0" w:color="auto"/>
              <w:right w:val="nil"/>
            </w:tcBorders>
            <w:shd w:val="clear" w:color="000000" w:fill="FFFFFF"/>
            <w:noWrap/>
            <w:vAlign w:val="bottom"/>
            <w:hideMark/>
          </w:tcPr>
          <w:p w14:paraId="080A05AF"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3.80</w:t>
            </w:r>
          </w:p>
        </w:tc>
        <w:tc>
          <w:tcPr>
            <w:tcW w:w="0" w:type="auto"/>
            <w:tcBorders>
              <w:top w:val="nil"/>
              <w:left w:val="nil"/>
              <w:bottom w:val="single" w:sz="4" w:space="0" w:color="auto"/>
              <w:right w:val="nil"/>
            </w:tcBorders>
            <w:shd w:val="clear" w:color="000000" w:fill="FFFFFF"/>
            <w:noWrap/>
            <w:vAlign w:val="bottom"/>
            <w:hideMark/>
          </w:tcPr>
          <w:p w14:paraId="0388AD45"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2D6BE75D"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w:t>
            </w:r>
          </w:p>
        </w:tc>
        <w:tc>
          <w:tcPr>
            <w:tcW w:w="0" w:type="auto"/>
            <w:tcBorders>
              <w:top w:val="nil"/>
              <w:left w:val="nil"/>
              <w:bottom w:val="single" w:sz="4" w:space="0" w:color="auto"/>
              <w:right w:val="nil"/>
            </w:tcBorders>
            <w:shd w:val="clear" w:color="000000" w:fill="FFFFFF"/>
            <w:noWrap/>
            <w:vAlign w:val="bottom"/>
            <w:hideMark/>
          </w:tcPr>
          <w:p w14:paraId="1F97B693"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6.25</w:t>
            </w:r>
          </w:p>
        </w:tc>
        <w:tc>
          <w:tcPr>
            <w:tcW w:w="0" w:type="auto"/>
            <w:tcBorders>
              <w:top w:val="nil"/>
              <w:left w:val="nil"/>
              <w:bottom w:val="single" w:sz="4" w:space="0" w:color="auto"/>
              <w:right w:val="nil"/>
            </w:tcBorders>
            <w:shd w:val="clear" w:color="000000" w:fill="FFFFFF"/>
            <w:noWrap/>
            <w:vAlign w:val="bottom"/>
            <w:hideMark/>
          </w:tcPr>
          <w:p w14:paraId="1A43EC7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000000" w:fill="FFFFFF"/>
            <w:noWrap/>
            <w:vAlign w:val="bottom"/>
            <w:hideMark/>
          </w:tcPr>
          <w:p w14:paraId="3AD23FA8"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w:t>
            </w:r>
          </w:p>
        </w:tc>
        <w:tc>
          <w:tcPr>
            <w:tcW w:w="0" w:type="auto"/>
            <w:tcBorders>
              <w:top w:val="nil"/>
              <w:left w:val="nil"/>
              <w:bottom w:val="single" w:sz="4" w:space="0" w:color="auto"/>
              <w:right w:val="nil"/>
            </w:tcBorders>
            <w:shd w:val="clear" w:color="000000" w:fill="FFFFFF"/>
            <w:noWrap/>
            <w:vAlign w:val="bottom"/>
            <w:hideMark/>
          </w:tcPr>
          <w:p w14:paraId="2EE0E800" w14:textId="77777777" w:rsidR="00311AB2" w:rsidRPr="00311AB2" w:rsidRDefault="00311AB2" w:rsidP="0046372A">
            <w:pPr>
              <w:spacing w:after="0"/>
              <w:jc w:val="center"/>
              <w:rPr>
                <w:rFonts w:ascii="Calibri" w:eastAsia="Times New Roman" w:hAnsi="Calibri" w:cs="Calibri"/>
                <w:color w:val="000000"/>
                <w:sz w:val="18"/>
                <w:szCs w:val="18"/>
                <w:lang w:val="fr-FR" w:eastAsia="fr-FR"/>
              </w:rPr>
            </w:pPr>
            <w:r w:rsidRPr="00311AB2">
              <w:rPr>
                <w:rFonts w:ascii="Calibri" w:eastAsia="Times New Roman" w:hAnsi="Calibri" w:cs="Calibri"/>
                <w:color w:val="000000"/>
                <w:sz w:val="18"/>
                <w:szCs w:val="18"/>
                <w:lang w:val="fr-FR" w:eastAsia="fr-FR"/>
              </w:rPr>
              <w:t>4.68</w:t>
            </w:r>
          </w:p>
        </w:tc>
      </w:tr>
    </w:tbl>
    <w:p w14:paraId="468EA6C9" w14:textId="40182774" w:rsidR="001E7B45" w:rsidRDefault="001E7B45" w:rsidP="00311AB2">
      <w:pPr>
        <w:pStyle w:val="BodyText"/>
        <w:spacing w:line="360" w:lineRule="auto"/>
      </w:pPr>
    </w:p>
    <w:p w14:paraId="69A13D57" w14:textId="77777777" w:rsidR="001E7B45" w:rsidRDefault="000109F5" w:rsidP="00311AB2">
      <w:pPr>
        <w:pStyle w:val="BodyText"/>
        <w:spacing w:line="360" w:lineRule="auto"/>
      </w:pPr>
      <w:r>
        <w:lastRenderedPageBreak/>
        <w:t>Clearly, agriculture is the most resilient, but this is especially true for subsistence crops and in irrigated areas, which have three crops. Dry areas have only one crop and depend largely on non-agricultural employment. For cash crops, it is the disruption of marketing networks that is problematic. Faced with growing labour difficulties (as Dalits increasingly refuse work considered as degrading and submissive), many farmers have converted to cash crops in recent decades. Cash crops are less labour-intensive but depend on intermediaries for distribution. The most profitable cash crops are sugar cane, casuarina and tapioca. The least profitable, reserved for very dry and not very fertile land, are watermelon and jackfruit. However, most farmers diversify their production in order to keep a share of self-consumption such as rice and vegetables. This is proving to be an essential source of survival at the present time.</w:t>
      </w:r>
    </w:p>
    <w:p w14:paraId="69BB2804" w14:textId="77777777" w:rsidR="001E7B45" w:rsidRDefault="000109F5" w:rsidP="00311AB2">
      <w:pPr>
        <w:pStyle w:val="BodyText"/>
        <w:spacing w:line="360" w:lineRule="auto"/>
      </w:pPr>
      <w:r>
        <w:t>Unlike other regions that depend on migrants, labour has not been a problem. However, due to the lack of a distribution network, many farmers have been unable to sell their cash crops. Either they distribute them for free when it comes to consumables (there is an example of a farmer who distributed two lakhs of melon). In this region, the harvesting and sale of watermelon and jackfruit were totally interrupted during the hardest period of the lockdown, in April. Either the farmers do not harvest, as many sugar cane producers do. They depend on sugar mills to sell their production, but most of them are closed. In mid-April, out of the 40 mills in the Tamil Nadu state, only 5 or 6 were working. So they gave up harvesting. The sugar canes are flowering, losing all their juice, and even if the lockdown ended, it would be too late.</w:t>
      </w:r>
    </w:p>
    <w:p w14:paraId="4BFB137E" w14:textId="77777777" w:rsidR="001E7B45" w:rsidRDefault="000109F5" w:rsidP="00311AB2">
      <w:pPr>
        <w:pStyle w:val="BodyText"/>
        <w:spacing w:line="360" w:lineRule="auto"/>
      </w:pPr>
      <w:r>
        <w:t xml:space="preserve">Among the daily farm workers (who are over-represented among the Dalits), jobs are available, with variations, however, both up and down. As mentioned earlier, producers who are afraid of not selling their products do not harvest. Some small producers, in order not to pay for labour, make an optimised use of family labour and keep hiring to a minimum. Conversely, some harvests that are usually mechanised have been done manually: this is the case for rice, since the harvesting machines come from southern Tamil Nadu and were therefore not available. Under pressure from workers, there is also a return of short term crops, which are highly labour intensive. As early as April, some farmers specializing in long term crops have replanted short term crops such as black gram or </w:t>
      </w:r>
      <w:r>
        <w:lastRenderedPageBreak/>
        <w:t>cucumbers. For them, it is not just a question of responding to workers’ requests: these short-term crops can be sold locally, which is therefore very secure.</w:t>
      </w:r>
    </w:p>
    <w:p w14:paraId="7A27B424" w14:textId="77777777" w:rsidR="001E7B45" w:rsidRDefault="000109F5" w:rsidP="00311AB2">
      <w:pPr>
        <w:pStyle w:val="BodyText"/>
        <w:spacing w:line="360" w:lineRule="auto"/>
      </w:pPr>
      <w:r>
        <w:t>At the same time, the job supply is such that wages are falling. A task paid INR 1,000 and which is usually performed by six workers will be performed by twelve or fifteen workers. It also happens that wages are paid late or in kind.</w:t>
      </w:r>
    </w:p>
    <w:p w14:paraId="6036D471" w14:textId="77777777" w:rsidR="001E7B45" w:rsidRDefault="000109F5" w:rsidP="00311AB2">
      <w:pPr>
        <w:pStyle w:val="BodyText"/>
        <w:spacing w:line="360" w:lineRule="auto"/>
      </w:pPr>
      <w:r>
        <w:t>Some agricultural workers work as seasonal migrants in sugarcane cutting, and in other parts of Tamil Nadu. They have returned. Not only do they have no jobs, but they are heavily indebted, since their recruitment is based on an wage advance that could not be repaid.</w:t>
      </w:r>
    </w:p>
    <w:p w14:paraId="3280ED8F" w14:textId="77777777" w:rsidR="001E7B45" w:rsidRDefault="000109F5" w:rsidP="00311AB2">
      <w:pPr>
        <w:pStyle w:val="BodyText"/>
        <w:spacing w:line="360" w:lineRule="auto"/>
      </w:pPr>
      <w:r>
        <w:t>Activities derived from agriculture are also disrupted. In addition to the issue of transport, the breakdown of credit networks is highly problematic. This is the case, for example, with milk distribution networks. Sellers refuse to sell on credit, which is the usual practice, and customers cannot pay cash. Producers are accustomed to obtaining fodder on credit but, here too, traders refuse to give credit. Similar difficulties apply to farm equipment.</w:t>
      </w:r>
    </w:p>
    <w:p w14:paraId="1726601E" w14:textId="77777777" w:rsidR="001E7B45" w:rsidRDefault="000109F5" w:rsidP="00311AB2">
      <w:pPr>
        <w:pStyle w:val="BodyText"/>
        <w:spacing w:line="360" w:lineRule="auto"/>
      </w:pPr>
      <w:r>
        <w:t>As regards non-agricultural employment, it seems that the vast majority of workers have lost their jobs: most occupations are in construction, transport, and nearby chemical companies. The construction sector has come to a complete halt, as has the brick production sector, where many of the workers in our sample are specialised as seasonal workers. Like the cane cutters, they have returned to work too, and are also heavily indebted due to wage advances. The transportation sector is operating in slow motion. Those who own their own vehicles and are self-employed are at a standstill. The small village grocers had to stop, due to lack of supplies and, again, lack of access to credit: they are used to obtaining supplies on credit, but the wholesalers refuse now this arrangement. The chemical companies, which hire many manual workers, have closed down. Even those with employment contracts have seen their wages cut.</w:t>
      </w:r>
    </w:p>
    <w:p w14:paraId="36421838" w14:textId="77777777" w:rsidR="001E7B45" w:rsidRDefault="000109F5" w:rsidP="00311AB2">
      <w:pPr>
        <w:pStyle w:val="BodyText"/>
        <w:spacing w:line="360" w:lineRule="auto"/>
      </w:pPr>
      <w:r>
        <w:lastRenderedPageBreak/>
        <w:t>What about state employment support? Over the years, the NREGA employment programme</w:t>
      </w:r>
      <w:r>
        <w:rPr>
          <w:rStyle w:val="FootnoteReference"/>
        </w:rPr>
        <w:footnoteReference w:id="14"/>
      </w:r>
      <w:r>
        <w:t xml:space="preserve"> has become an important source of employment, particularly for women (in our 2016-17 sample, one third of women derive most of their income from the NREGA, compared to 2 percent of men). The programme has come to a halt. Late May, it was expected to restart, but for small groups of workers, and the start date remains unknown. The aid promised by the central government (INR 500 per month from March to May) and the state of Tamil Nadu (INR 2,000 in two instalments) is unevenly distributed. Only a few families per village have benefited from it, and more importantly, the money remains difficult to access due to banking and digital finance dysfunctions (see </w:t>
      </w:r>
      <w:hyperlink w:anchor="section:saving">
        <w:r>
          <w:rPr>
            <w:rStyle w:val="Hyperlink"/>
          </w:rPr>
          <w:t>3</w:t>
        </w:r>
      </w:hyperlink>
      <w:r>
        <w:t>). At the same time, and as part of a massive overhaul of labour legislation, some forms of social protection, such as the reversionary pensions received by some widows, have been cut.</w:t>
      </w:r>
    </w:p>
    <w:p w14:paraId="20A7F476" w14:textId="77777777" w:rsidR="001E7B45" w:rsidRDefault="000109F5" w:rsidP="00311AB2">
      <w:pPr>
        <w:pStyle w:val="BodyText"/>
        <w:spacing w:line="360" w:lineRule="auto"/>
      </w:pPr>
      <w:r>
        <w:t>Aid in kind by subsidised food shops is functioning. Eligible families, classified below the poverty line, received in April and May a package that includes 5 kg of rice per family member, 1 kg of lentil, 2 kg or sugar, etc. People complain about the quality. Some only use it to make idlis (rice loaves for breakfast), others sell it on the black market, while others have only this to eat.</w:t>
      </w:r>
    </w:p>
    <w:p w14:paraId="665A1DB8" w14:textId="77777777" w:rsidR="001E7B45" w:rsidRDefault="000109F5" w:rsidP="00311AB2">
      <w:pPr>
        <w:pStyle w:val="BodyText"/>
        <w:spacing w:line="360" w:lineRule="auto"/>
      </w:pPr>
      <w:r>
        <w:t>Due to serious weakened incomes, especially for families who depend on non-agricultural employment, how do they survive on a daily basis?</w:t>
      </w:r>
    </w:p>
    <w:p w14:paraId="2A33074B" w14:textId="77777777" w:rsidR="001E7B45" w:rsidRDefault="000109F5" w:rsidP="00311AB2">
      <w:pPr>
        <w:pStyle w:val="Heading1"/>
        <w:spacing w:line="360" w:lineRule="auto"/>
      </w:pPr>
      <w:bookmarkStart w:id="3" w:name="section:saving"/>
      <w:bookmarkEnd w:id="2"/>
      <w:r>
        <w:t>The limited role of cash saving and cash transfers</w:t>
      </w:r>
    </w:p>
    <w:p w14:paraId="02AB8DDC" w14:textId="77777777" w:rsidR="001E7B45" w:rsidRDefault="000109F5" w:rsidP="00311AB2">
      <w:pPr>
        <w:pStyle w:val="FirstParagraph"/>
        <w:spacing w:line="360" w:lineRule="auto"/>
      </w:pPr>
      <w:r>
        <w:t xml:space="preserve">The poor are often seen as not saving enough because of a lack of vision, self-control or appropriate savings services ((Banerjee and Duflo 2011, 183–204); (Karlan, Ratan, and Zinman 2014)). In fact they do save, but in forms that are outside the banking system (Collins et al. 2009; Rutherford 2000; Peebles 2014, 2020; Goedecke et al. 2017; Guérin, Venkatasubramanian, and Kumar 2019) and for objectives that are not limited to daily </w:t>
      </w:r>
      <w:r>
        <w:lastRenderedPageBreak/>
        <w:t>survival or material accumulation but have to do with the social reproduction of the group of belonging (Peebles 2014; Douglas and Isherwood 1980).</w:t>
      </w:r>
    </w:p>
    <w:p w14:paraId="0A6DDA96" w14:textId="77777777" w:rsidR="001E7B45" w:rsidRDefault="000109F5" w:rsidP="00311AB2">
      <w:pPr>
        <w:pStyle w:val="BodyText"/>
        <w:spacing w:line="360" w:lineRule="auto"/>
      </w:pPr>
      <w:r>
        <w:t>For ordinary villagers, and except few occupations such as real estate traders, keeping cash at home is limited to small amounts. It is matter of security –cash at home can easily be stolen or damaged through fire or flood. It is also a matter of principle. Storing wealth –whether at home or in bank accounts– and especially cash is unusual: the value of wealth precisely comes from the fact that it constantly circulates. As soon as people have cash surplus, either they buy gold –gold remains a major source of saving– or they inject this money in their social network, through loans or gifts (which will be reciprocated later). In a context of very high interdependency in which social protection depends in great part upon people’s networks, cash circulates quickly and storing cash makes little sense, both socially and economically.</w:t>
      </w:r>
    </w:p>
    <w:p w14:paraId="33675FAC" w14:textId="77777777" w:rsidR="001E7B45" w:rsidRDefault="000109F5" w:rsidP="00311AB2">
      <w:pPr>
        <w:pStyle w:val="BodyText"/>
        <w:spacing w:line="360" w:lineRule="auto"/>
      </w:pPr>
      <w:r>
        <w:t xml:space="preserve">In the wake of various measures and governmental schemes over the last decade, the bancarisation of Indian citizens has made significant progress but remains largely incomplete. In our survey field area, almost all households have a bank account (95 percent ; (Guérin et al. 2017, table 3)) but many use them mostly to channel their welfare benefits (one fourth of the Dalits have an account only for this purpose), which is the reason for the mass opening of bank accounts. The median amount of bank savings remains negligible (median, INR 500) and did not increase over the period. While demonetization was supposed to strengthen the use of banks, it had rather the opposite effect. Due to a complete lack of anticipation, banks had been unable to supply people with new notes, increasing household distrust of banks, especially among Dalits and women (Guérin et al. 2017). The lockdown is likely to have similar effects: cash transfers currently distributed by the government are channelled through bank accounts, but beneficiaries are struggling obtaining it quickly. Following the demonetization, banks have massively distributed debit cards; 49 percent of households have one and use it mainly for cash withdrawals, almost not for expenses (and very few shops accept them). However, the only ATMs available are far away from many studied villages and difficult to access. Bank branches are closer, but nevertheless at a distance of between 2 and 12 km from the villages. People, often women, go there by walking. Initially the police authorized these journeys, on the condition that </w:t>
      </w:r>
      <w:r>
        <w:lastRenderedPageBreak/>
        <w:t>they show their bank book, but then conditions became tougher: the villagers say that a couple was beaten and, since then, women have avoided the road and walked along the fields. Going to a bank branch does not even guarantee a withdrawal, as observed in other parts of India</w:t>
      </w:r>
      <w:r>
        <w:rPr>
          <w:rStyle w:val="FootnoteReference"/>
        </w:rPr>
        <w:footnoteReference w:id="15"/>
      </w:r>
      <w:r>
        <w:t>. The banks only receive a few dozen customers a day. As with demonetization, customers have to wait in long queues without being sure of being served. Some banks use business correspondents –bank agents who travel to villages to relieve congestion– but others do not, for fear of contamination through bank terminals.</w:t>
      </w:r>
    </w:p>
    <w:p w14:paraId="1FCE1647" w14:textId="77777777" w:rsidR="001E7B45" w:rsidRDefault="000109F5" w:rsidP="00311AB2">
      <w:pPr>
        <w:pStyle w:val="BodyText"/>
        <w:spacing w:line="360" w:lineRule="auto"/>
      </w:pPr>
      <w:r>
        <w:t>Some households have liquid savings, which are most often kept by women in a hidden manner, allowing them to create space for autonomy from other family members. For example, Shivakumar, who tells us that his wife has a “locker saving” (he uses the English term). He thinks it is a few thousand rupees; he does not know where the money comes from, maybe part of it is small sums she takes directly from his own pockets, he is aware of it but closes his eyes, especially at this moment since he knows it will be very useful. Some women had set aside money to pay for the children’s education (usually paid quarterly). This is the case of Vasantha. Her husband is in Andhra Pradesh, and is stuck there; she has to manage with INR 8,000 saving for the educational fees of her kids; her husband is not aware of it, as he may want to spend it for other purposes. This money will keep her going for a while. Other women had some savings for the marriage of their children, especially their daughter’s children because of the cost of the dowry.</w:t>
      </w:r>
    </w:p>
    <w:p w14:paraId="4039735A" w14:textId="77777777" w:rsidR="001E7B45" w:rsidRDefault="000109F5" w:rsidP="00311AB2">
      <w:pPr>
        <w:pStyle w:val="BodyText"/>
        <w:spacing w:line="360" w:lineRule="auto"/>
      </w:pPr>
      <w:r>
        <w:t xml:space="preserve">The main precautionary strategies are gold and the cultivation of social networks, since both are valuable sources of access to liquidity. Gold remains a popular way to save and protect against the knocks of daily life. Gold has the advantage of combining prestige, liquidity (pawnbrokers are available in every nearby small town) and possibly speculation since the rate of gold is constantly increasing and rarely decline (Goedecke et al. 2017). In our sample, 96 percent of households own gold, for an average amount which is more than 100 times greater than bank saving (INR 187,569). While roscas (chitfunds) used to be </w:t>
      </w:r>
      <w:r>
        <w:lastRenderedPageBreak/>
        <w:t xml:space="preserve">popular, their importance is now marginal (9 percent of households). It seems they have been replaced in great part by other sources of funding, especially “finance” (see section </w:t>
      </w:r>
      <w:hyperlink w:anchor="section:burden">
        <w:r>
          <w:rPr>
            <w:rStyle w:val="Hyperlink"/>
          </w:rPr>
          <w:t>4</w:t>
        </w:r>
      </w:hyperlink>
      <w:r>
        <w:t>).</w:t>
      </w:r>
    </w:p>
    <w:p w14:paraId="770B25D0" w14:textId="77777777" w:rsidR="001E7B45" w:rsidRDefault="000109F5" w:rsidP="00311AB2">
      <w:pPr>
        <w:pStyle w:val="Heading1"/>
        <w:spacing w:line="360" w:lineRule="auto"/>
      </w:pPr>
      <w:bookmarkStart w:id="4" w:name="section:burden"/>
      <w:bookmarkEnd w:id="3"/>
      <w:r>
        <w:t>The burden of debt</w:t>
      </w:r>
    </w:p>
    <w:p w14:paraId="01B6841E" w14:textId="77777777" w:rsidR="001E7B45" w:rsidRDefault="000109F5" w:rsidP="00311AB2">
      <w:pPr>
        <w:pStyle w:val="FirstParagraph"/>
        <w:spacing w:line="360" w:lineRule="auto"/>
      </w:pPr>
      <w:r>
        <w:t>Almost all households are indebted (99 percent) and most often have several loans, taken out by different people within the household. The median number of loans per person is two, for a total of 4 loans per family on average (sometimes up to more than 10 loans). Loans vary greatly in amount (between INR 400 to INR 5,500,000) with an average of INR 58,000 (median at 30,000). The average debt per family is INR 253,410, which represents on average more than 290 percent of their annual income (median at 138 percent).</w:t>
      </w:r>
    </w:p>
    <w:p w14:paraId="51F72792" w14:textId="77777777" w:rsidR="001E7B45" w:rsidRDefault="000109F5" w:rsidP="00311AB2">
      <w:pPr>
        <w:pStyle w:val="BodyText"/>
        <w:spacing w:line="360" w:lineRule="auto"/>
      </w:pPr>
      <w:r>
        <w:t>It is a known fact that debt, and its flip side, credit, is a double-edged sword. The effects of debt depend upon the way it is used –investing or consuming, the real cost, and the hazards that borrowers may face. Debt may protect debtors and allow them to smooth their income. It may enable them to seize opportunities –digging or improving a well, acquiring a motorcycle taxi, setting up a small grocery store, renovating a house, investing for the future of children, either in education or marriage. In a context in which finding a job depends on social relationships and not just a school degree, marriages are considered as key tools for social mobility or at least security, especially for daughters (De Neve 2016). But if the investment goes wrong, if the return on investment is less than the cost of the loan, or is obtained too late, if the debt is only used to make ends meet, then debt can be a source of impoverishment.</w:t>
      </w:r>
    </w:p>
    <w:p w14:paraId="11B6007C" w14:textId="77777777" w:rsidR="001E7B45" w:rsidRDefault="000109F5" w:rsidP="00311AB2">
      <w:pPr>
        <w:pStyle w:val="BodyText"/>
        <w:spacing w:line="360" w:lineRule="auto"/>
      </w:pPr>
      <w:r>
        <w:t xml:space="preserve">Our longitudinal data over the spell 2010 to 2016-17 are instructive here. Debt has exploded over the period: median amounts have increased by a factor of 1.5, and more importantly, they have grown much faster than incomes and wealth. For households in the first asset tercile, and for Dalits, the debt/asset ratio is of particular concern (see Figure </w:t>
      </w:r>
      <w:hyperlink w:anchor="kernel:DARcastes">
        <w:r>
          <w:rPr>
            <w:rStyle w:val="Hyperlink"/>
          </w:rPr>
          <w:t>1</w:t>
        </w:r>
      </w:hyperlink>
      <w:r>
        <w:t xml:space="preserve"> and Figure </w:t>
      </w:r>
      <w:hyperlink w:anchor="kernel:DARassets">
        <w:r>
          <w:rPr>
            <w:rStyle w:val="Hyperlink"/>
          </w:rPr>
          <w:t>2</w:t>
        </w:r>
      </w:hyperlink>
      <w:r>
        <w:t>). For both groups, the distribution is much more spread out to the right, reflecting worrying levels of financial fragility. The debt service –the share of their income that households spend for debt repayment– is also revealing: the average amount is 48 percent, and the median amount is 22 percent.</w:t>
      </w:r>
    </w:p>
    <w:p w14:paraId="0E3D4381" w14:textId="3D109F0B" w:rsidR="001E7B45" w:rsidRDefault="000109F5" w:rsidP="00311AB2">
      <w:pPr>
        <w:pStyle w:val="BodyText"/>
        <w:spacing w:line="360" w:lineRule="auto"/>
      </w:pPr>
      <w:r>
        <w:lastRenderedPageBreak/>
        <w:t xml:space="preserve">In line with the decline of farming, it is also observed that the share of debt for economic investment is declining (from 31 to 24 percent) (Appendix, Table </w:t>
      </w:r>
      <w:hyperlink w:anchor="appendix:purpose">
        <w:r w:rsidR="001C7325">
          <w:rPr>
            <w:rStyle w:val="Hyperlink"/>
          </w:rPr>
          <w:t>2</w:t>
        </w:r>
      </w:hyperlink>
      <w:r>
        <w:t xml:space="preserve">). The share of debt for current expenses and human capital have decreased, while remaining non negligible: debts are partly used to make ends meet (29 percent of the loans are used for daily expenses, 15 percent in volume) (Appendix, Table </w:t>
      </w:r>
      <w:hyperlink w:anchor="appendix:purpose">
        <w:r w:rsidR="001C7325">
          <w:rPr>
            <w:rStyle w:val="Hyperlink"/>
          </w:rPr>
          <w:t>2</w:t>
        </w:r>
      </w:hyperlink>
      <w:r>
        <w:t>). But the share of ceremonial and housing expenses is increasing. In a context of strong economic growth for several decades, along with democratisation (with the growing importance of Dalit political movements), and rising inequalities (Chancel and Piketty 2019), households have aspirations. If disposable incomes do not increase, or unless people adopt an “ascetic morality”, they experience subjective impoverishment (Servet and Saiag 2013, 33). The very idea of “equality”, present since India’s independence but struggling to materialize, necessarily translates into a society of “envy” (Dupuy 2014). Aspirations often exceed income: debt is thus used to fill the gap. But with erratic incomes and weak social protection, debt may easily translate into over-indebtedness (Servet and Saiag 2013). This has been observed in other emerging countries like South-Africa (James 2015), Chile (Han 2012; Gonzalez 2015), Argentine (Saiag 2020) and Brazil (Lavinas 2013). In India, not only is growth slowing down, but it may have been overestimated (Subramanian 2019)</w:t>
      </w:r>
      <w:r>
        <w:rPr>
          <w:rStyle w:val="FootnoteReference"/>
        </w:rPr>
        <w:footnoteReference w:id="16"/>
      </w:r>
      <w:r>
        <w:t>, creating illusions of growth and risky bets on the future.</w:t>
      </w:r>
    </w:p>
    <w:p w14:paraId="5F537704" w14:textId="341BEE06" w:rsidR="001E7B45" w:rsidRDefault="00311AB2" w:rsidP="00311AB2">
      <w:pPr>
        <w:pStyle w:val="CaptionedFigure"/>
        <w:spacing w:line="360" w:lineRule="auto"/>
      </w:pPr>
      <w:r w:rsidRPr="00311AB2">
        <w:rPr>
          <w:noProof/>
        </w:rPr>
        <w:lastRenderedPageBreak/>
        <w:drawing>
          <wp:inline distT="0" distB="0" distL="0" distR="0" wp14:anchorId="2E873A71" wp14:editId="14D9C7DC">
            <wp:extent cx="54864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86400" cy="3657600"/>
                    </a:xfrm>
                    <a:prstGeom prst="rect">
                      <a:avLst/>
                    </a:prstGeom>
                  </pic:spPr>
                </pic:pic>
              </a:graphicData>
            </a:graphic>
          </wp:inline>
        </w:drawing>
      </w:r>
    </w:p>
    <w:p w14:paraId="2009B56A" w14:textId="20943C9A" w:rsidR="001E7B45" w:rsidRDefault="000109F5" w:rsidP="00311AB2">
      <w:pPr>
        <w:pStyle w:val="ImageCaption"/>
        <w:spacing w:line="360" w:lineRule="auto"/>
      </w:pPr>
      <w:bookmarkStart w:id="5" w:name="fig1"/>
      <w:r>
        <w:t>Figure </w:t>
      </w:r>
      <w:r>
        <w:fldChar w:fldCharType="begin"/>
      </w:r>
      <w:r>
        <w:instrText xml:space="preserve">SEQ Figure \* ARABIC </w:instrText>
      </w:r>
      <w:r>
        <w:fldChar w:fldCharType="separate"/>
      </w:r>
      <w:r>
        <w:t>1</w:t>
      </w:r>
      <w:r>
        <w:fldChar w:fldCharType="end"/>
      </w:r>
      <w:r>
        <w:t xml:space="preserve">: </w:t>
      </w:r>
      <w:bookmarkEnd w:id="5"/>
      <w:r w:rsidR="00F5312B">
        <w:t xml:space="preserve">Kernel density of Debt to Assets Ratio by castes </w:t>
      </w:r>
      <w:proofErr w:type="gramStart"/>
      <w:r w:rsidR="00F5312B">
        <w:t xml:space="preserve">-- </w:t>
      </w:r>
      <w:r>
        <w:t xml:space="preserve"> </w:t>
      </w:r>
      <w:r>
        <w:rPr>
          <w:b/>
          <w:bCs/>
        </w:rPr>
        <w:t>Source</w:t>
      </w:r>
      <w:proofErr w:type="gramEnd"/>
      <w:r>
        <w:t>: RUME (2010) and NEEMSIS</w:t>
      </w:r>
      <w:r w:rsidR="00473A6F">
        <w:t>-1</w:t>
      </w:r>
      <w:r>
        <w:t xml:space="preserve"> (2016-17); author’s calculations</w:t>
      </w:r>
    </w:p>
    <w:p w14:paraId="2F8158A2" w14:textId="73A24221" w:rsidR="001E7B45" w:rsidRDefault="00311AB2" w:rsidP="00311AB2">
      <w:pPr>
        <w:pStyle w:val="CaptionedFigure"/>
        <w:spacing w:line="360" w:lineRule="auto"/>
      </w:pPr>
      <w:r w:rsidRPr="00311AB2">
        <w:rPr>
          <w:noProof/>
        </w:rPr>
        <w:lastRenderedPageBreak/>
        <w:drawing>
          <wp:inline distT="0" distB="0" distL="0" distR="0" wp14:anchorId="32CFF422" wp14:editId="6ED597D6">
            <wp:extent cx="5486400" cy="3657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657600"/>
                    </a:xfrm>
                    <a:prstGeom prst="rect">
                      <a:avLst/>
                    </a:prstGeom>
                  </pic:spPr>
                </pic:pic>
              </a:graphicData>
            </a:graphic>
          </wp:inline>
        </w:drawing>
      </w:r>
    </w:p>
    <w:p w14:paraId="10321060" w14:textId="7FFFF395" w:rsidR="001E7B45" w:rsidRDefault="000109F5" w:rsidP="00311AB2">
      <w:pPr>
        <w:pStyle w:val="ImageCaption"/>
        <w:spacing w:line="360" w:lineRule="auto"/>
      </w:pPr>
      <w:bookmarkStart w:id="6" w:name="fig2"/>
      <w:r>
        <w:t>Figure </w:t>
      </w:r>
      <w:r>
        <w:fldChar w:fldCharType="begin"/>
      </w:r>
      <w:r>
        <w:instrText xml:space="preserve">SEQ Figure \* ARABIC </w:instrText>
      </w:r>
      <w:r>
        <w:fldChar w:fldCharType="separate"/>
      </w:r>
      <w:r>
        <w:t>2</w:t>
      </w:r>
      <w:r>
        <w:fldChar w:fldCharType="end"/>
      </w:r>
      <w:r>
        <w:t xml:space="preserve">: </w:t>
      </w:r>
      <w:bookmarkEnd w:id="6"/>
      <w:r w:rsidR="00775AE3">
        <w:t>Kernel density of Debt to Assets Ratio by tercile</w:t>
      </w:r>
      <w:r w:rsidR="002E6EB0">
        <w:t xml:space="preserve"> of </w:t>
      </w:r>
      <w:proofErr w:type="gramStart"/>
      <w:r w:rsidR="002E6EB0">
        <w:t xml:space="preserve">assets </w:t>
      </w:r>
      <w:r w:rsidR="00775AE3">
        <w:t xml:space="preserve"> --</w:t>
      </w:r>
      <w:proofErr w:type="gramEnd"/>
      <w:r w:rsidR="00775AE3">
        <w:t xml:space="preserve"> </w:t>
      </w:r>
      <w:r>
        <w:t xml:space="preserve"> </w:t>
      </w:r>
      <w:r>
        <w:rPr>
          <w:b/>
          <w:bCs/>
        </w:rPr>
        <w:t>Source</w:t>
      </w:r>
      <w:r>
        <w:t>: RUME (2010) and NEEMSIS</w:t>
      </w:r>
      <w:r w:rsidR="004D2F20">
        <w:t>-1</w:t>
      </w:r>
      <w:r>
        <w:t xml:space="preserve"> (2016-17); author’s calculations</w:t>
      </w:r>
    </w:p>
    <w:p w14:paraId="6BAAFE53" w14:textId="77777777" w:rsidR="001E7B45" w:rsidRDefault="000109F5" w:rsidP="00311AB2">
      <w:pPr>
        <w:pStyle w:val="Heading1"/>
        <w:spacing w:line="360" w:lineRule="auto"/>
      </w:pPr>
      <w:bookmarkStart w:id="7" w:name="section:finlandscape"/>
      <w:bookmarkEnd w:id="4"/>
      <w:r>
        <w:t>The financial landscape: informal and segmented</w:t>
      </w:r>
    </w:p>
    <w:p w14:paraId="19EBB2FC" w14:textId="4CFFCBAA" w:rsidR="001E7B45" w:rsidRDefault="000109F5" w:rsidP="00311AB2">
      <w:pPr>
        <w:pStyle w:val="FirstParagraph"/>
        <w:spacing w:line="360" w:lineRule="auto"/>
      </w:pPr>
      <w:r>
        <w:t xml:space="preserve">Despite massive efforts in terms of financial inclusion policies over the last two decades (Nair 2016; Kar 2018), formal finance, regulated by the state and based on written contracts, accounts for only 29 percent of the amounts borrowed at the household level in terms of volume. Formal finance includes “finance” (microfinance companies) and banks. Finance targets exclusively women. Dalits and casual daily labourers are also over-represented (Appendix, Table </w:t>
      </w:r>
      <w:hyperlink w:anchor="appendix:clientelecaste">
        <w:r w:rsidR="00732C5D">
          <w:rPr>
            <w:rStyle w:val="Hyperlink"/>
          </w:rPr>
          <w:t>3</w:t>
        </w:r>
      </w:hyperlink>
      <w:r>
        <w:t xml:space="preserve"> and </w:t>
      </w:r>
      <w:hyperlink w:anchor="appendix:clienteleocc">
        <w:r w:rsidR="00732C5D">
          <w:rPr>
            <w:rStyle w:val="Hyperlink"/>
          </w:rPr>
          <w:t>4</w:t>
        </w:r>
      </w:hyperlink>
      <w:r>
        <w:t>). Banks are restricted to men, landowners and farmers.</w:t>
      </w:r>
    </w:p>
    <w:p w14:paraId="023E38B4" w14:textId="77777777" w:rsidR="001E7B45" w:rsidRDefault="000109F5" w:rsidP="00311AB2">
      <w:pPr>
        <w:pStyle w:val="BodyText"/>
        <w:spacing w:line="360" w:lineRule="auto"/>
      </w:pPr>
      <w:r>
        <w:t xml:space="preserve">At the household level, more than two-thirds of the loan volume therefore continues to come from informal or semi-formal sources. Among the informal sources, “well-known persons” (WKP) –the term locally used– are the most important sources in terms of number of loans, users and volume (almost a third of loan volumes, and 70 percent of users). This </w:t>
      </w:r>
      <w:r>
        <w:lastRenderedPageBreak/>
        <w:t>category includes a wide range of profiles: a few castes specialising in lending, but above all, a wide range of people for whom lending is not a profession and who have surplus cash to invest, mostly landowners, local entrepreneurs and wage earners. The figure of the “moneylender”, which is often used to describe rural usury, does not really exist, as is also observed in other parts of India (Gregory 1997). Next come the relatives, then employers and labour recruiters (“labour” category). The latter are over-represented among Dalits and take the form of wage advances, which are repaid through labour, but at lower rates, and often entail freedom restrictions. Pawnbrokers are another fundamental source, especially for women. We qualify them as semi-formal because many operate without a license while still lending on the basis of a written contract.</w:t>
      </w:r>
    </w:p>
    <w:p w14:paraId="28120BFD" w14:textId="77777777" w:rsidR="001E7B45" w:rsidRDefault="000109F5" w:rsidP="00311AB2">
      <w:pPr>
        <w:pStyle w:val="BodyText"/>
        <w:spacing w:line="360" w:lineRule="auto"/>
      </w:pPr>
      <w:r>
        <w:t xml:space="preserve">During the survey period, finance and pawnbroking have grown in importance, both in terms of users and in terms of volume (see Figure </w:t>
      </w:r>
      <w:hyperlink w:anchor="bar:clientele">
        <w:r>
          <w:rPr>
            <w:rStyle w:val="Hyperlink"/>
          </w:rPr>
          <w:t>3</w:t>
        </w:r>
      </w:hyperlink>
      <w:r>
        <w:t xml:space="preserve"> and Figure </w:t>
      </w:r>
      <w:hyperlink w:anchor="bar:loaned">
        <w:r>
          <w:rPr>
            <w:rStyle w:val="Hyperlink"/>
          </w:rPr>
          <w:t>4</w:t>
        </w:r>
      </w:hyperlink>
      <w:r>
        <w:t>). This increase was at the expense of other sources, notably Self-Help-Groups (SHGs)</w:t>
      </w:r>
      <w:r>
        <w:rPr>
          <w:rStyle w:val="FootnoteReference"/>
        </w:rPr>
        <w:footnoteReference w:id="17"/>
      </w:r>
      <w:r>
        <w:t xml:space="preserve"> and debt-labour arrangements. However, WKP and relatives remain the predominant form of borrowing.</w:t>
      </w:r>
    </w:p>
    <w:p w14:paraId="57629E09" w14:textId="74389869" w:rsidR="001E7B45" w:rsidRDefault="00311AB2" w:rsidP="00311AB2">
      <w:pPr>
        <w:pStyle w:val="CaptionedFigure"/>
        <w:spacing w:line="360" w:lineRule="auto"/>
      </w:pPr>
      <w:r w:rsidRPr="00311AB2">
        <w:rPr>
          <w:noProof/>
        </w:rPr>
        <w:lastRenderedPageBreak/>
        <w:drawing>
          <wp:inline distT="0" distB="0" distL="0" distR="0" wp14:anchorId="3A3BE61C" wp14:editId="26F7A4A7">
            <wp:extent cx="5486400" cy="36576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3657600"/>
                    </a:xfrm>
                    <a:prstGeom prst="rect">
                      <a:avLst/>
                    </a:prstGeom>
                  </pic:spPr>
                </pic:pic>
              </a:graphicData>
            </a:graphic>
          </wp:inline>
        </w:drawing>
      </w:r>
    </w:p>
    <w:p w14:paraId="7D55A7CB" w14:textId="47DFC0BA" w:rsidR="001E7B45" w:rsidRDefault="000109F5" w:rsidP="00311AB2">
      <w:pPr>
        <w:pStyle w:val="ImageCaption"/>
        <w:spacing w:line="360" w:lineRule="auto"/>
      </w:pPr>
      <w:bookmarkStart w:id="8" w:name="fig3"/>
      <w:r>
        <w:t>Figure </w:t>
      </w:r>
      <w:r>
        <w:fldChar w:fldCharType="begin"/>
      </w:r>
      <w:r>
        <w:instrText xml:space="preserve">SEQ Figure \* ARABIC </w:instrText>
      </w:r>
      <w:r>
        <w:fldChar w:fldCharType="separate"/>
      </w:r>
      <w:r>
        <w:t>3</w:t>
      </w:r>
      <w:r>
        <w:fldChar w:fldCharType="end"/>
      </w:r>
      <w:r>
        <w:t xml:space="preserve">: </w:t>
      </w:r>
      <w:bookmarkEnd w:id="8"/>
      <w:r w:rsidR="00611782">
        <w:t xml:space="preserve">Source of borrowing (percent of users) </w:t>
      </w:r>
      <w:proofErr w:type="gramStart"/>
      <w:r w:rsidR="00611782">
        <w:t xml:space="preserve">-- </w:t>
      </w:r>
      <w:r>
        <w:t xml:space="preserve"> </w:t>
      </w:r>
      <w:r>
        <w:rPr>
          <w:b/>
          <w:bCs/>
        </w:rPr>
        <w:t>Source</w:t>
      </w:r>
      <w:proofErr w:type="gramEnd"/>
      <w:r>
        <w:t>: RUME (2010) and NEEMSIS</w:t>
      </w:r>
      <w:r w:rsidR="00611782">
        <w:t>-1</w:t>
      </w:r>
      <w:r>
        <w:t xml:space="preserve"> (2016-17); author’s calculations</w:t>
      </w:r>
    </w:p>
    <w:p w14:paraId="5A12FF7F" w14:textId="5195F25D" w:rsidR="001E7B45" w:rsidRDefault="00311AB2" w:rsidP="00311AB2">
      <w:pPr>
        <w:pStyle w:val="CaptionedFigure"/>
        <w:spacing w:line="360" w:lineRule="auto"/>
      </w:pPr>
      <w:r w:rsidRPr="00311AB2">
        <w:rPr>
          <w:noProof/>
        </w:rPr>
        <w:lastRenderedPageBreak/>
        <w:drawing>
          <wp:inline distT="0" distB="0" distL="0" distR="0" wp14:anchorId="007FAE3C" wp14:editId="3D4BDC1C">
            <wp:extent cx="5486400" cy="36576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657600"/>
                    </a:xfrm>
                    <a:prstGeom prst="rect">
                      <a:avLst/>
                    </a:prstGeom>
                  </pic:spPr>
                </pic:pic>
              </a:graphicData>
            </a:graphic>
          </wp:inline>
        </w:drawing>
      </w:r>
    </w:p>
    <w:p w14:paraId="25E08294" w14:textId="04A1FCEA" w:rsidR="001E7B45" w:rsidRDefault="000109F5" w:rsidP="00311AB2">
      <w:pPr>
        <w:pStyle w:val="ImageCaption"/>
        <w:spacing w:line="360" w:lineRule="auto"/>
      </w:pPr>
      <w:bookmarkStart w:id="9" w:name="fig4"/>
      <w:r>
        <w:t>Figure </w:t>
      </w:r>
      <w:r>
        <w:fldChar w:fldCharType="begin"/>
      </w:r>
      <w:r>
        <w:instrText xml:space="preserve">SEQ Figure \* ARABIC </w:instrText>
      </w:r>
      <w:r>
        <w:fldChar w:fldCharType="separate"/>
      </w:r>
      <w:r>
        <w:t>4</w:t>
      </w:r>
      <w:r>
        <w:fldChar w:fldCharType="end"/>
      </w:r>
      <w:r>
        <w:t xml:space="preserve">: </w:t>
      </w:r>
      <w:bookmarkEnd w:id="9"/>
      <w:r>
        <w:t xml:space="preserve"> </w:t>
      </w:r>
      <w:r w:rsidR="009D75B3">
        <w:t xml:space="preserve">Source of borrowing (percent of volume) -- </w:t>
      </w:r>
      <w:r>
        <w:rPr>
          <w:b/>
          <w:bCs/>
        </w:rPr>
        <w:t>Source</w:t>
      </w:r>
      <w:r>
        <w:t>: RUME (2010) and NEEMSI</w:t>
      </w:r>
      <w:r w:rsidR="00CC7222">
        <w:t xml:space="preserve">S-1 </w:t>
      </w:r>
      <w:r>
        <w:t>(2016-17); author’s calculations</w:t>
      </w:r>
    </w:p>
    <w:p w14:paraId="30FE40A2" w14:textId="77777777" w:rsidR="001E7B45" w:rsidRDefault="000109F5" w:rsidP="00311AB2">
      <w:pPr>
        <w:pStyle w:val="BodyText"/>
        <w:spacing w:line="360" w:lineRule="auto"/>
      </w:pPr>
      <w:r>
        <w:t>As observed elsewhere</w:t>
      </w:r>
      <w:r>
        <w:rPr>
          <w:rStyle w:val="FootnoteReference"/>
        </w:rPr>
        <w:footnoteReference w:id="18"/>
      </w:r>
      <w:r>
        <w:t xml:space="preserve">, informal sources persist, for several reasons. They are very flexible, which is crucial given the irregularity of income. For 84 percent of informal loans, the terms are not fixed in advance and borrowers repay when they can. Contrary to what is often claimed in the literature or media, their cost is not, on average, higher than formal sources in the region studied here (Reboul et al. 2019). Almost none of them require collateral (79.97 percent require only personal informal agreement). Subjective creditworthiness, reputation and trust (the three terms are equivalent in Tamil - </w:t>
      </w:r>
      <w:r>
        <w:rPr>
          <w:i/>
          <w:iCs/>
        </w:rPr>
        <w:t>nambikai</w:t>
      </w:r>
      <w:r>
        <w:t>) are the key factors in lenders’ selection.</w:t>
      </w:r>
    </w:p>
    <w:p w14:paraId="25024AAA" w14:textId="77777777" w:rsidR="001E7B45" w:rsidRDefault="000109F5" w:rsidP="00311AB2">
      <w:pPr>
        <w:pStyle w:val="BodyText"/>
        <w:spacing w:line="360" w:lineRule="auto"/>
      </w:pPr>
      <w:r>
        <w:t xml:space="preserve">The transformation of sources of borrowing is both shaped by and constitutive of deeper social transformations, including regarding the use and building of trust. Historically, access to credit, for the landless and small landowners, was mainly based on their labour power, </w:t>
      </w:r>
      <w:r>
        <w:lastRenderedPageBreak/>
        <w:t>used as collateral and legitimized by caste hierarchies and the possible use of violence</w:t>
      </w:r>
      <w:r>
        <w:rPr>
          <w:rStyle w:val="FootnoteReference"/>
        </w:rPr>
        <w:footnoteReference w:id="19"/>
      </w:r>
      <w:r>
        <w:t xml:space="preserve">. Non-agricultural employment and migration have opened up new opportunities. In the village itself, new providers are present. In addition to microcredit organizations, many WKPs actually act as informal intermediaries for urban financial lenders. Another form of caste segmentation is worth noting, a legacy of a persistent Hindu theology of debt (Kāne 2012). As the villagers often say, “you don’t borrow from anyone lower than you”. Interestingly, however, the Dalits are borrowing more and more from other Dalits (Figure </w:t>
      </w:r>
      <w:hyperlink w:anchor="cont:loans">
        <w:r>
          <w:rPr>
            <w:rStyle w:val="Hyperlink"/>
          </w:rPr>
          <w:t>5</w:t>
        </w:r>
      </w:hyperlink>
      <w:r>
        <w:t xml:space="preserve"> and </w:t>
      </w:r>
      <w:hyperlink w:anchor="cont:volume">
        <w:r>
          <w:rPr>
            <w:rStyle w:val="Hyperlink"/>
          </w:rPr>
          <w:t>6</w:t>
        </w:r>
      </w:hyperlink>
      <w:r>
        <w:t>) (and this caste retreat is also observed in other castes)</w:t>
      </w:r>
      <w:r>
        <w:rPr>
          <w:rStyle w:val="FootnoteReference"/>
        </w:rPr>
        <w:footnoteReference w:id="20"/>
      </w:r>
      <w:r>
        <w:t>.</w:t>
      </w:r>
    </w:p>
    <w:p w14:paraId="63F71DFE" w14:textId="533CB2EF" w:rsidR="001E7B45" w:rsidRDefault="00311AB2" w:rsidP="00311AB2">
      <w:pPr>
        <w:pStyle w:val="CaptionedFigure"/>
        <w:spacing w:line="360" w:lineRule="auto"/>
      </w:pPr>
      <w:r w:rsidRPr="00311AB2">
        <w:rPr>
          <w:noProof/>
        </w:rPr>
        <w:drawing>
          <wp:inline distT="0" distB="0" distL="0" distR="0" wp14:anchorId="5AA94BAC" wp14:editId="2BC8DEF3">
            <wp:extent cx="5486400" cy="3657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657600"/>
                    </a:xfrm>
                    <a:prstGeom prst="rect">
                      <a:avLst/>
                    </a:prstGeom>
                  </pic:spPr>
                </pic:pic>
              </a:graphicData>
            </a:graphic>
          </wp:inline>
        </w:drawing>
      </w:r>
    </w:p>
    <w:p w14:paraId="1A4688FF" w14:textId="6A2AA936" w:rsidR="001E7B45" w:rsidRDefault="000109F5" w:rsidP="00311AB2">
      <w:pPr>
        <w:pStyle w:val="ImageCaption"/>
        <w:spacing w:line="360" w:lineRule="auto"/>
      </w:pPr>
      <w:bookmarkStart w:id="10" w:name="fig5"/>
      <w:r>
        <w:t>Figure </w:t>
      </w:r>
      <w:r>
        <w:fldChar w:fldCharType="begin"/>
      </w:r>
      <w:r>
        <w:instrText xml:space="preserve">SEQ Figure \* ARABIC </w:instrText>
      </w:r>
      <w:r>
        <w:fldChar w:fldCharType="separate"/>
      </w:r>
      <w:r>
        <w:t>5</w:t>
      </w:r>
      <w:r>
        <w:fldChar w:fldCharType="end"/>
      </w:r>
      <w:r>
        <w:t xml:space="preserve">: </w:t>
      </w:r>
      <w:bookmarkEnd w:id="10"/>
      <w:r>
        <w:t xml:space="preserve"> </w:t>
      </w:r>
      <w:r w:rsidR="005943A0">
        <w:t xml:space="preserve">Debt and caste, who borrows from whom (percent of loans)? -- </w:t>
      </w:r>
      <w:r>
        <w:rPr>
          <w:b/>
          <w:bCs/>
        </w:rPr>
        <w:t>Source</w:t>
      </w:r>
      <w:r>
        <w:t>: RUME (2010) and NEEMSIS</w:t>
      </w:r>
      <w:r w:rsidR="005943A0">
        <w:t>-1</w:t>
      </w:r>
      <w:r>
        <w:t xml:space="preserve"> (2016-17); author’s calculations</w:t>
      </w:r>
    </w:p>
    <w:p w14:paraId="1F024B72" w14:textId="6E2FE98E" w:rsidR="001E7B45" w:rsidRDefault="00311AB2" w:rsidP="00311AB2">
      <w:pPr>
        <w:pStyle w:val="CaptionedFigure"/>
        <w:spacing w:line="360" w:lineRule="auto"/>
      </w:pPr>
      <w:r w:rsidRPr="00311AB2">
        <w:rPr>
          <w:noProof/>
        </w:rPr>
        <w:lastRenderedPageBreak/>
        <w:drawing>
          <wp:inline distT="0" distB="0" distL="0" distR="0" wp14:anchorId="3F1FE260" wp14:editId="453C4508">
            <wp:extent cx="5486400" cy="3657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86400" cy="3657600"/>
                    </a:xfrm>
                    <a:prstGeom prst="rect">
                      <a:avLst/>
                    </a:prstGeom>
                  </pic:spPr>
                </pic:pic>
              </a:graphicData>
            </a:graphic>
          </wp:inline>
        </w:drawing>
      </w:r>
    </w:p>
    <w:p w14:paraId="36151FB8" w14:textId="1723069B" w:rsidR="001E7B45" w:rsidRDefault="000109F5" w:rsidP="00311AB2">
      <w:pPr>
        <w:pStyle w:val="ImageCaption"/>
        <w:spacing w:line="360" w:lineRule="auto"/>
      </w:pPr>
      <w:bookmarkStart w:id="11" w:name="fig6"/>
      <w:r>
        <w:t>Figure </w:t>
      </w:r>
      <w:r>
        <w:fldChar w:fldCharType="begin"/>
      </w:r>
      <w:r>
        <w:instrText xml:space="preserve">SEQ Figure \* ARABIC </w:instrText>
      </w:r>
      <w:r>
        <w:fldChar w:fldCharType="separate"/>
      </w:r>
      <w:r>
        <w:t>6</w:t>
      </w:r>
      <w:r>
        <w:fldChar w:fldCharType="end"/>
      </w:r>
      <w:r>
        <w:t xml:space="preserve">: </w:t>
      </w:r>
      <w:bookmarkEnd w:id="11"/>
      <w:r w:rsidR="005F3948">
        <w:t xml:space="preserve">Debt and caste, who borrows from whom (percent of volume)? </w:t>
      </w:r>
      <w:proofErr w:type="gramStart"/>
      <w:r w:rsidR="005F3948">
        <w:t xml:space="preserve">-- </w:t>
      </w:r>
      <w:r>
        <w:t xml:space="preserve"> </w:t>
      </w:r>
      <w:r>
        <w:rPr>
          <w:b/>
          <w:bCs/>
        </w:rPr>
        <w:t>Source</w:t>
      </w:r>
      <w:proofErr w:type="gramEnd"/>
      <w:r>
        <w:t>: RUME (2010) and NEEMSIS</w:t>
      </w:r>
      <w:r w:rsidR="000F7AEB">
        <w:t>-1</w:t>
      </w:r>
      <w:r>
        <w:t xml:space="preserve"> (2016-17); author’s calculations</w:t>
      </w:r>
    </w:p>
    <w:p w14:paraId="636E9E5F" w14:textId="77777777" w:rsidR="001E7B45" w:rsidRDefault="000109F5" w:rsidP="00311AB2">
      <w:pPr>
        <w:pStyle w:val="BodyText"/>
        <w:spacing w:line="360" w:lineRule="auto"/>
      </w:pPr>
      <w:r>
        <w:t>Trust does not mean blind faith on others, but the “the negotiation of risk occasioned by the freedom of others” (Hart 2000, 188). Broadly speaking, trust depends on the personal and social characteristics of the contracting parties and their respective appreciation, on a process and memory of repeated interactions, and finally on social institutions, broadly defined as the set of rules, norms and conventions that regulate the behaviour of others (Jean-Phiilippe Platteau 1994). The assessment of incentives and enforcement mechanisms is crucial, and depends on sanctions, the risk of loss of reputation or the risk of loss of reciprocity in case of interdependence. For loans among relatives and microcredit loans, which remain based on the principle of group lending, interdependence nurtures trust. This does not, of course, exclude tensions and conflicts, whether within kinship or microcredit groups (Kar 2018). These are omnipresent. But the interdependence is such that relatives and group members remain bound by ties of mutual debt and cannot afford to fail.</w:t>
      </w:r>
    </w:p>
    <w:p w14:paraId="25BE9C1F" w14:textId="77777777" w:rsidR="001E7B45" w:rsidRDefault="000109F5" w:rsidP="00311AB2">
      <w:pPr>
        <w:pStyle w:val="BodyText"/>
        <w:spacing w:line="360" w:lineRule="auto"/>
      </w:pPr>
      <w:r>
        <w:lastRenderedPageBreak/>
        <w:t>For loans contracted from WKP, several factors come into play. Even if no collateral is required, the lender takes into account in his or her own assessment material assets –which borrowers can sell if they have difficulty repaying– and their ability to work. Migrants clearly have an advantage and labour recruiters may even be asked to act as guarantors for the first loans. As with any lender, the fabric of trust is then based on credit history and repayment behaviour. Reputation is public information, available at the village level. Reputation encompasses family history, seriousness and “morality” of different family members. Bad payers are quickly identified and discriminated against by lenders, but also by employers or labour intermediaries. They may also affect children’s marriage. Reputation is therefore an essential asset in households’ portfolios, which people constantly seek to preserve and cultivate. Here too, conflicts are legion. Disappearing from the village for a while can be a way of postponing a debt. But permanent migration remains exceptional and the attachment to the village is such that payment defaults are rare.</w:t>
      </w:r>
    </w:p>
    <w:p w14:paraId="1C782389" w14:textId="77777777" w:rsidR="001E7B45" w:rsidRDefault="000109F5" w:rsidP="00311AB2">
      <w:pPr>
        <w:pStyle w:val="Heading1"/>
        <w:spacing w:line="360" w:lineRule="auto"/>
      </w:pPr>
      <w:bookmarkStart w:id="12" w:name="section:repayment"/>
      <w:bookmarkEnd w:id="7"/>
      <w:r>
        <w:t>Suspension of repayment</w:t>
      </w:r>
    </w:p>
    <w:p w14:paraId="47F8032E" w14:textId="77777777" w:rsidR="001E7B45" w:rsidRDefault="000109F5" w:rsidP="00311AB2">
      <w:pPr>
        <w:pStyle w:val="FirstParagraph"/>
        <w:spacing w:line="360" w:lineRule="auto"/>
      </w:pPr>
      <w:r>
        <w:t xml:space="preserve">When the lockdown was announced, the villagers expressed three major concerns: the loss of jobs, of course; the omnipresent and violent police checks, which exacerbated the climate of anxiety; and the repayment of debts, especially women. They discussed first about microcredits, since microcredits are the only ones with rigid and non-negotiable repayment terms. Repayments (most often monthly) are often a headache, since cash is constantly in short supply. The most organised borrowers regularly save small amounts; the others, in the days before the due date, spend part of their time finding money here and there by soliciting neighbours, friends, husbands and other relatives. Soon after the lockdown announcement, however, the Reserve Bank of India (RBI) announced a moratorium on repayments. Initially limited to banks, microfinance companies (most of which have non-banking financial company status) had to apply to the RBI to also be eligible for the moratorium. However, not all financial companies are complying with the moratorium. Some require electronic applications, while many womens are illiterate and most have no access to the internet. Other companies give phone calls, requesting women to repay, and </w:t>
      </w:r>
      <w:r>
        <w:lastRenderedPageBreak/>
        <w:t>our region seems to be no exception</w:t>
      </w:r>
      <w:r>
        <w:rPr>
          <w:rStyle w:val="FootnoteReference"/>
        </w:rPr>
        <w:footnoteReference w:id="21"/>
      </w:r>
      <w:r>
        <w:t>. In the cases we came across, women are well-informed and refuse to let this happen, as the following testimony illustrates, but this requires negotiation and collective organisation.</w:t>
      </w:r>
    </w:p>
    <w:p w14:paraId="109ECF56" w14:textId="77777777" w:rsidR="001E7B45" w:rsidRDefault="000109F5" w:rsidP="00311AB2">
      <w:pPr>
        <w:pStyle w:val="BlockText"/>
        <w:spacing w:line="360" w:lineRule="auto"/>
      </w:pPr>
      <w:r>
        <w:t>“The staff is torturing us daily by phone and giving warning that if we fail to repay in the due date, we have to pay interest to interest. But I strongly said that we can’t repay right now. You can arrest us or do whatever you can. How many months have we paid without fail? [...] They think if they ask the payment in an intimidating tone, people will be afraid and will settle the amount. I request the [name of the financial company] that I don’t have money to repay. I gathered all the members of the group and asked about their situation because I am the head of the group. Our members were crying and said that we don’t have income to repay. So far we have been paying properly, why are they giving pressure? Then I contacted [name of the financial company] and I told them if you were pressuring us again and again, we will register a complaint against you. Then only they stopped contacting us.”</w:t>
      </w:r>
    </w:p>
    <w:p w14:paraId="3784BEA1" w14:textId="77777777" w:rsidR="001E7B45" w:rsidRDefault="000109F5" w:rsidP="00311AB2">
      <w:pPr>
        <w:pStyle w:val="FirstParagraph"/>
        <w:spacing w:line="360" w:lineRule="auto"/>
      </w:pPr>
      <w:r>
        <w:t>With regard to informal loans, many creditors try to get their money back, but most of the time without success. They do not have the means to enforce repayments, and they also have to preserve their reputation. “I also borrow elsewhere, how can I shout?”, we often hear. While this suspension of repayments may relieve household budgets, it raises the question of how it will affect trust and reputation, one of the most valuable assets that people possess.</w:t>
      </w:r>
    </w:p>
    <w:p w14:paraId="7A91FCA7" w14:textId="77777777" w:rsidR="001E7B45" w:rsidRDefault="000109F5" w:rsidP="00311AB2">
      <w:pPr>
        <w:pStyle w:val="Heading1"/>
        <w:spacing w:line="360" w:lineRule="auto"/>
      </w:pPr>
      <w:bookmarkStart w:id="13" w:name="section:trust"/>
      <w:bookmarkEnd w:id="12"/>
      <w:r>
        <w:t>Stopping unsecured debt and the loss of trust</w:t>
      </w:r>
    </w:p>
    <w:p w14:paraId="4D968E86" w14:textId="77777777" w:rsidR="001E7B45" w:rsidRDefault="000109F5" w:rsidP="00311AB2">
      <w:pPr>
        <w:pStyle w:val="FirstParagraph"/>
        <w:spacing w:line="360" w:lineRule="auto"/>
      </w:pPr>
      <w:r>
        <w:t xml:space="preserve">With the lockdown, and the immense uncertainty that goes with it, unsecured debts have stopped. While money usually circulates all the time (as does food –a kilo of rice, a glass of oil, a liter of milk), this circulation has stopped, except among very close relatives or very </w:t>
      </w:r>
      <w:r>
        <w:lastRenderedPageBreak/>
        <w:t>close friends. While during the demonetization we observed an extension of networks (and people often compare the two situations), here it is the opposite reaction. People have not lost trust in others, but in the future. Many mention the “collapse of trust” (</w:t>
      </w:r>
      <w:r>
        <w:rPr>
          <w:i/>
          <w:iCs/>
        </w:rPr>
        <w:t>nambikai pochu</w:t>
      </w:r>
      <w:r>
        <w:t>). Uncertainty about the future prevents any trust. “People close their doors” we have been told again and again. In the first days, solidarity and sharing was there, but once people have realized that the situation was going to last, they turned in on themselves, as illustrated by the following testimonies:</w:t>
      </w:r>
    </w:p>
    <w:p w14:paraId="23E68E43" w14:textId="77777777" w:rsidR="001E7B45" w:rsidRDefault="000109F5" w:rsidP="00311AB2">
      <w:pPr>
        <w:pStyle w:val="BlockText"/>
        <w:spacing w:line="360" w:lineRule="auto"/>
      </w:pPr>
      <w:r>
        <w:t>“Usually neighbors, sister in law, god will come… now no one is coming.”</w:t>
      </w:r>
    </w:p>
    <w:p w14:paraId="5EEC632D" w14:textId="77777777" w:rsidR="001E7B45" w:rsidRDefault="000109F5" w:rsidP="00311AB2">
      <w:pPr>
        <w:pStyle w:val="BlockText"/>
        <w:spacing w:line="360" w:lineRule="auto"/>
      </w:pPr>
      <w:r>
        <w:t>“If there is any crisis, always someone is there to support, now all doors are closed.”</w:t>
      </w:r>
    </w:p>
    <w:p w14:paraId="2DA59016" w14:textId="77777777" w:rsidR="001E7B45" w:rsidRDefault="000109F5" w:rsidP="00311AB2">
      <w:pPr>
        <w:pStyle w:val="BlockText"/>
        <w:spacing w:line="360" w:lineRule="auto"/>
      </w:pPr>
      <w:r>
        <w:t>“There is no food, there is no cash, I have to find a way to protect myself; even the government says, close the doors, stay inside.”</w:t>
      </w:r>
    </w:p>
    <w:p w14:paraId="4395748F" w14:textId="77777777" w:rsidR="001E7B45" w:rsidRDefault="000109F5" w:rsidP="00311AB2">
      <w:pPr>
        <w:pStyle w:val="BlockText"/>
        <w:spacing w:line="360" w:lineRule="auto"/>
      </w:pPr>
      <w:r>
        <w:t>“No one is ready to give. All say ‘we don’t have enough money’. Moreover we don’t ask money from neighbors and relations. Our only believe is daily coolie work.”</w:t>
      </w:r>
    </w:p>
    <w:p w14:paraId="57A56040" w14:textId="77777777" w:rsidR="001E7B45" w:rsidRDefault="000109F5" w:rsidP="00311AB2">
      <w:pPr>
        <w:pStyle w:val="BlockText"/>
        <w:spacing w:line="360" w:lineRule="auto"/>
      </w:pPr>
      <w:r>
        <w:t xml:space="preserve">“Even </w:t>
      </w:r>
      <w:r>
        <w:rPr>
          <w:i/>
          <w:iCs/>
        </w:rPr>
        <w:t>kaimathu</w:t>
      </w:r>
      <w:r>
        <w:t xml:space="preserve"> [help from hand to hand], that’s impossible. Everyone closes the door and does not want to talk to us. They fear that people won’t return the money. People plan that it may last for one year. My village is empty. No-one wants to see us.”</w:t>
      </w:r>
    </w:p>
    <w:p w14:paraId="7E6A49F8" w14:textId="77777777" w:rsidR="001E7B45" w:rsidRDefault="000109F5" w:rsidP="00311AB2">
      <w:pPr>
        <w:pStyle w:val="BlockText"/>
        <w:spacing w:line="360" w:lineRule="auto"/>
      </w:pPr>
      <w:r>
        <w:t>“Nobody wants to help […]. Everybody is in some sort of trauma to say they have cash. They even hide to their close relatives.”</w:t>
      </w:r>
    </w:p>
    <w:p w14:paraId="4EA49D50" w14:textId="77777777" w:rsidR="001E7B45" w:rsidRDefault="000109F5" w:rsidP="00311AB2">
      <w:pPr>
        <w:pStyle w:val="FirstParagraph"/>
        <w:spacing w:line="360" w:lineRule="auto"/>
      </w:pPr>
      <w:r>
        <w:t xml:space="preserve">A milk trader whom we know well, who did whatever he could at the time of demonetization to support his network of producers, told us: “don’t ask anything!”. We shall also give the example of this labour recruiter, Dalit, whom we have known for fifteen years. We have seen him gradually build up his network of workers and creditors, which he needs to provide wage advances. Over the years, he has built up an excellent reputation by regularly protecting his workers (loans or gifts in case of illness, unforeseen events, etc.). He can count on four trusted creditors (well-known persons) with whom he has gradually built relationships. Today he can neither repay his creditors nor help his workers. Many of them are now waiting for him in front of his house, hoping for some kind of help. He avoids </w:t>
      </w:r>
      <w:r>
        <w:lastRenderedPageBreak/>
        <w:t xml:space="preserve">being him. He turns his phone off and on for only a few minutes a day. He calls us in desperation. He goes so far as to talk about suicide. His haunting, he tells us, is to lose his </w:t>
      </w:r>
      <w:r>
        <w:rPr>
          <w:i/>
          <w:iCs/>
        </w:rPr>
        <w:t>nambikai</w:t>
      </w:r>
      <w:r>
        <w:t xml:space="preserve"> (reputation).</w:t>
      </w:r>
    </w:p>
    <w:p w14:paraId="1C33E766" w14:textId="77777777" w:rsidR="001E7B45" w:rsidRDefault="000109F5" w:rsidP="00311AB2">
      <w:pPr>
        <w:pStyle w:val="BodyText"/>
        <w:spacing w:line="360" w:lineRule="auto"/>
      </w:pPr>
      <w:r>
        <w:t>It is known that in many informal economies, the pressure for redistribution limits the scope for accumulation (Jean-Philippe Platteau 2015; Nguyen and Nordman 2017). Here, it is experienced by people as a threat to their survival. Thus these two co-wives, who remain hidden at home because they are indebted to several women in the neighbourhood. Their son tells us that they no longer dare to go out because they would feel obliged to give what little they have. At the same time they feel terribly guilty.</w:t>
      </w:r>
    </w:p>
    <w:p w14:paraId="0E40E5A9" w14:textId="77777777" w:rsidR="001E7B45" w:rsidRDefault="000109F5" w:rsidP="00311AB2">
      <w:pPr>
        <w:pStyle w:val="BodyText"/>
        <w:spacing w:line="360" w:lineRule="auto"/>
      </w:pPr>
      <w:r>
        <w:t>Fear of the future and the loss of the usual networks of protection leads to considerable anxiety –people keep asking when the lockdown will end, and more importantly, when economic activity will resume. Returning to old dependencies, from which many Dalits had tried to extricate themselves, is an alternative. This is the case of this Dalit woman:</w:t>
      </w:r>
    </w:p>
    <w:p w14:paraId="6AB7414F" w14:textId="77777777" w:rsidR="001E7B45" w:rsidRDefault="000109F5" w:rsidP="00311AB2">
      <w:pPr>
        <w:pStyle w:val="BlockText"/>
        <w:spacing w:line="360" w:lineRule="auto"/>
      </w:pPr>
      <w:r>
        <w:t>“A woman, I know her for the last thirty years, we watch TV together, here or vice versa. I often acted as a guarantor for her; but she refused [to help]. She thinks I may not be able to return the 5 kg rice, as my family is big. Corona is closing my door. She is like my sister. Now my only choice is I am going to a Mudaliyar [upper caste]. My father in law was attached labourer there. He died but his son is still there. I will have to explain: my father in law was attached labour there, I have to build a new relation.”</w:t>
      </w:r>
    </w:p>
    <w:p w14:paraId="13516764" w14:textId="77777777" w:rsidR="001E7B45" w:rsidRDefault="000109F5" w:rsidP="00311AB2">
      <w:pPr>
        <w:pStyle w:val="FirstParagraph"/>
        <w:spacing w:line="360" w:lineRule="auto"/>
      </w:pPr>
      <w:r>
        <w:t>Together with other women, she manages to convince the Mudaliyar to plant cucumber and black gram and hire them. It’s embarrassing to go begging, she says, since her family was out of this dependency, but she has no choice, “he’s the only one who feeds us”. However, reviving old forms of protection is only possible in irrigated villages. In the dry villages, workers are desperately waiting for transport to start up again. We have to go and move, whatever the destination and the activity, they say.</w:t>
      </w:r>
    </w:p>
    <w:p w14:paraId="34F82C30" w14:textId="77777777" w:rsidR="001E7B45" w:rsidRDefault="000109F5" w:rsidP="00311AB2">
      <w:pPr>
        <w:pStyle w:val="Heading1"/>
        <w:spacing w:line="360" w:lineRule="auto"/>
      </w:pPr>
      <w:bookmarkStart w:id="14" w:name="section:newforms"/>
      <w:bookmarkEnd w:id="13"/>
      <w:r>
        <w:lastRenderedPageBreak/>
        <w:t>The emergence of new forms of secured debt: a risk of massive depletion?</w:t>
      </w:r>
    </w:p>
    <w:p w14:paraId="2FC40481" w14:textId="77777777" w:rsidR="001E7B45" w:rsidRDefault="000109F5" w:rsidP="00311AB2">
      <w:pPr>
        <w:pStyle w:val="FirstParagraph"/>
        <w:spacing w:line="360" w:lineRule="auto"/>
      </w:pPr>
      <w:r>
        <w:t>We have seen above the widespread use of pawnbrokers. Because of the crucial role of gold as savings (both precautionary and long-term savings), households buy gold whenever they can. The median amount owned increased significantly over the period but only for non-Dalit. For Dalits, it decreased by 20 percent (from 40g to 32g). For all castes, about two thirds of the gold is pawned at the time of the survey.</w:t>
      </w:r>
    </w:p>
    <w:p w14:paraId="0DEDA541" w14:textId="77777777" w:rsidR="001E7B45" w:rsidRDefault="000109F5" w:rsidP="00311AB2">
      <w:pPr>
        <w:pStyle w:val="BodyText"/>
        <w:spacing w:line="360" w:lineRule="auto"/>
      </w:pPr>
      <w:r>
        <w:t>With the lockdown, pawnbrokers were forced by regulation to close for almost two months. A few managed to operate from home. At the end of May, the others have started to reopen, but their activity is limited, probably due to scarce liquidities. At the same time, old practices are re-emerging: pawnbroking within the village, between landowners’ wives (now, mainly middle castes) and those who are severely lacking in liquidity (mostly non-farm daily labourers). This practice was widespread when the landless or smallholders depended mainly on agriculture, and access to credit was limited. Due to lack of income, and lack of visibility on their future income, many households have lost their creditworthiness. Conversely, potential lenders face themselves many uncertainties and don’t want to take risk. With the loss of trust, pledging assets has become the only way to secure financial transactions. Pawning a piece of jewellery just to eat is a heartbreaker, especially for non-Dalits. Historically, pawnbroking was reserved for agricultural investment: pledging gold to eat is a habit of “poor”, often considered as a Dalit stigma. The deal is also unusual: instead of obtaining a lump sum (usually three-quarters or two-thirds of the jewel’s value), small sums are disbursed regularly. Lenders cannot afford more, and borrowers only ask for the minimum, to avoid being approached in their turn by their close circle. Thus this lady who pledges a piece of jewellery worth INR 30,000, borrows INR 800, then comes back a few days later to borrow INR 500. Another deposits a piece of jewelry worth INR 15,000, borrows INR 500, and a week later borrows INR 1,000. We can assume they will come regularly according to their needs as long as the job shortage lasts. For households who do not find employment quickly, which is likely to be the case in the non-farm sector, one may expect a massive loss of their gold assets.</w:t>
      </w:r>
    </w:p>
    <w:p w14:paraId="70E960AA" w14:textId="5680A9A5" w:rsidR="001E7B45" w:rsidRDefault="000109F5" w:rsidP="00311AB2">
      <w:pPr>
        <w:pStyle w:val="BodyText"/>
        <w:spacing w:line="360" w:lineRule="auto"/>
      </w:pPr>
      <w:r>
        <w:lastRenderedPageBreak/>
        <w:t xml:space="preserve">Land raise similar concerns. Almost half households (46 percent) have lost land over the period. The share of landowners fell from 42 percent to 21 percent, and each caste experienced a similar decline (see Table </w:t>
      </w:r>
      <w:hyperlink w:anchor="Global">
        <w:r w:rsidR="004B0208">
          <w:rPr>
            <w:rStyle w:val="Hyperlink"/>
          </w:rPr>
          <w:t>1</w:t>
        </w:r>
      </w:hyperlink>
      <w:r>
        <w:t>). Qualitative surveys indicate that indebtedness is often an explanatory factor. Land is very rarely mortgaged, but the people have no other choice than selling it when they can no longer pay their creditors. Here too, new forms of secured loans are being developed, especially for bonded labourers. As mentioned above, part of our sample make a living thanks to seasonal migration and wage advances. With the lockdown, most have returned. Not only they have lost their source of livelihood but they are heavily indebted, with amounts ranging from 70,000 to INR 100,000. Employers are very unlikely to write off this debt. Whether it is the brick producers or the sugar mills, they themselves are in great trouble. What is more, among the brick kiln owners, some have even started to threaten their workers by demanding title deeds, something that has never happened before: until now the only collateral was labour. Given the uncertainty about the future, labour is no longer a collateral. Far beyond our case study, activists and researchers are concerned that the lockdown could lead to the emergence of new forms of slavery ((Nagaraj and Srivastava 2020); (Jan Sahas 2020, 14)).</w:t>
      </w:r>
    </w:p>
    <w:p w14:paraId="442E407C" w14:textId="77777777" w:rsidR="001E7B45" w:rsidRDefault="000109F5" w:rsidP="00311AB2">
      <w:pPr>
        <w:pStyle w:val="Heading1"/>
        <w:spacing w:line="360" w:lineRule="auto"/>
      </w:pPr>
      <w:bookmarkStart w:id="15" w:name="section:conclusion"/>
      <w:bookmarkEnd w:id="14"/>
      <w:r>
        <w:t>Discussion and conclusion</w:t>
      </w:r>
    </w:p>
    <w:p w14:paraId="3D6CB016" w14:textId="77777777" w:rsidR="001E7B45" w:rsidRDefault="000109F5" w:rsidP="00311AB2">
      <w:pPr>
        <w:pStyle w:val="FirstParagraph"/>
        <w:spacing w:line="360" w:lineRule="auto"/>
      </w:pPr>
      <w:r>
        <w:t xml:space="preserve">In different regions of the world, the pandemic –and the lockdown (whose effects are currently greater than the pandemic itself, in some contexts such as India)– have exposed pre-existing fragilities: insufficient health systems, excessive concentration of production chains, devaluation of essential workers, suddenly becoming visible, etc. As our case study shows, the fragility of growth based on private debt is also exposed. With the lockdown, not only have workers lost their sources of income, albeit unevenly, but they are unable to repay their debts. In the region studied, debt has exploded over the past decade. While debt was already a source of financial fragility and decapitalization for part of the population, there is concern that the lockdown could accentuate this trend. The only credits accessible during the lockdown are secured credits, based on gold or land. Our case study is limited to a specific region and has no claim to generalization. However, the sharp increase in private debt observed in many developing countries before the pandemic, and which was already a </w:t>
      </w:r>
      <w:r>
        <w:lastRenderedPageBreak/>
        <w:t>source of concern (World Bank 2020; UNCTAD 2019; UN 2020), really deserves a particular attention.</w:t>
      </w:r>
    </w:p>
    <w:p w14:paraId="0DAC0A12" w14:textId="77777777" w:rsidR="001E7B45" w:rsidRDefault="000109F5" w:rsidP="00311AB2">
      <w:pPr>
        <w:pStyle w:val="BodyText"/>
        <w:spacing w:line="360" w:lineRule="auto"/>
      </w:pPr>
      <w:r>
        <w:t>In India, farmers’ debt and its consequences in terms of suicide has been a known and debated fact for several decades (Mohanty 2005). While rural incomes are now mostly non-farm (and this is true for India in general), the extent of indebtedness in rural areas, beyond farmers, has not yet been measured. Until now, internal migration and the regular injection of liquidity (through microcredit, but also and above all through informal urban financiers) explained the sustainability of this debt system. Migration income and new debts repay old debts. Debt is chronic and its repayment takes a large part of the income, acting in fact as a rent-seeking system for lenders. Moreover, the slightest contingency is a major source of fragility and impoverishment, when the sale of assets is the only way to repay the debt. When the crisis is systemic, as is the case here, we can fear a massive collapse. Beyond material assets, it is also personal relationships, trust and reputation that are threatened. In a predominantly informal economy, these social assets are extremely valuable (Hart 2000; Jean-Phiilippe Platteau 1994).</w:t>
      </w:r>
    </w:p>
    <w:p w14:paraId="1C0B125C" w14:textId="77777777" w:rsidR="001E7B45" w:rsidRDefault="000109F5" w:rsidP="00311AB2">
      <w:pPr>
        <w:pStyle w:val="BodyText"/>
        <w:spacing w:line="360" w:lineRule="auto"/>
      </w:pPr>
      <w:r>
        <w:t>The gender of our findings are also worth mentioning. As those responsible for meal preparation, managing family budgets and increasingly, household debt (Guérin, Venkatasubramanian, and Kumar 2019), women are on the front line of the lockdown. Jewelry is the few things they own, as most are still deprived of land ownership. When it comes to eating less, they are certainly the first to sacrifice themselves. When the moratorium on formal debts is lifted, they will still be in the front line since they are the main clients of microcredit organizations. A specific analysis would be necessary, and a comparison with the gendered effects of famines would certainly be useful (Cliggett 2005; Rangasami 1986).</w:t>
      </w:r>
    </w:p>
    <w:p w14:paraId="6FCC0147" w14:textId="77777777" w:rsidR="001E7B45" w:rsidRDefault="000109F5" w:rsidP="00311AB2">
      <w:pPr>
        <w:pStyle w:val="BodyText"/>
        <w:spacing w:line="360" w:lineRule="auto"/>
      </w:pPr>
      <w:r>
        <w:t xml:space="preserve">The debt of the poor is often debated: is it a survival debt simply to make ends meet or to cope with life’s accidents, or does it reflect expensive and ostentatious behaviour? As early as colonial times, British officials and Christian missions were concerned about the massive indebtedness of peasants, which was described as a “congenital propensity for extravagance” (Pouchepadass 1980, 167). Debt is above all the result of unequal societies </w:t>
      </w:r>
      <w:r>
        <w:lastRenderedPageBreak/>
        <w:t>(UN 2020), which on the one hand do not offer the poorest their basic needs, forcing them to go into debt to make a living, and which on the other hand give rise to social needs and envy, that result from a search for dignity (Servet and Saiag 2013). This need for dignity is less present in societies of status, where there is usually a consensus on the acceptance of hierarchies and rank. In the region studied here, Dalits, as we have mentioned, have fought tirelessly to extricate themselves from a caste status society. Debt, together with internal migration, has been precisely a vehicle for this search of (relative) independence. Credit, the other side of debt, is a promise about the future: by allowing borrowers to project themselves into the future and to hope, debt has made it possible to create or to fulfil aspirations, something of which the subordinates are often the most deprived (Appadurai 2004). But to be eligible for credit, people have to build creditworthiness. Honouring commitments is no longer based on status or fear of violence. Nor is it based on contract, which is of little value in a context like India (Harriss-White 2003) as in many other developing countries (Jean-Phiilippe Platteau 1994). The trust needed to access credit is based on experience and repeated interactions (Hilger and Nordman 2020) on various forms of incentives such as the threat of jeopardy of reputation, and on reciprocity and interdependence (with relatives and peers). Caste-based hierarchical bonds have become greatly distended. Kinship ties, as we have seen, remain a major asset, but they are articulated with other relationships built and cultivated over time. Yet, access to off-farm income sources, although uncertain and unpredictable, was a precondition of trust. With the drying up of income sources, trust has disappeared, at least temporarily, and reputation is under serious threat. While debt is now the only way to survive, secured credit, based on gold or land, is the only option. What will be left of these assets, both material and social? Only time will tell.</w:t>
      </w:r>
    </w:p>
    <w:p w14:paraId="0059E0EE" w14:textId="77777777" w:rsidR="001E7B45" w:rsidRDefault="000109F5" w:rsidP="00311AB2">
      <w:pPr>
        <w:pStyle w:val="BodyText"/>
        <w:spacing w:line="360" w:lineRule="auto"/>
      </w:pPr>
      <w:r>
        <w:t xml:space="preserve">What is certain, however, is that for the poorest, current forms of protection remain very fragile. This is true of the protection provided by the State, whose redistribution exists but remains insufficient, erratic and unequal. This is true of kin protection, which can come into play in times of growth but is necessarily limited in times of systemic crisis. This is true of the relations recently created outside the kin circle, both within the caste and outside it. These are based on a trust built up over time, but which the systemic crisis seems to have </w:t>
      </w:r>
      <w:r>
        <w:lastRenderedPageBreak/>
        <w:t>destroyed. The lockdown follows various measures taken by the BJP-led government of Narendra Modi done since 2014 (demonetization, Goods and Services Tax reform) which strongly suggests that the aim is to “destroy” the informal economy (Harriss-White 2020). One can imagine that the big players in this informal economy, organized around mafia-clans, will know how to adapt and have already been able to do so. For the others, the vast majority and those discussed here, this destruction seems to be well under way.</w:t>
      </w:r>
    </w:p>
    <w:p w14:paraId="1316BFBD" w14:textId="77777777" w:rsidR="001E7B45" w:rsidRDefault="000109F5" w:rsidP="00311AB2">
      <w:pPr>
        <w:pStyle w:val="Heading1"/>
        <w:spacing w:line="360" w:lineRule="auto"/>
      </w:pPr>
      <w:bookmarkStart w:id="16" w:name="references"/>
      <w:bookmarkEnd w:id="15"/>
      <w:r>
        <w:t>References</w:t>
      </w:r>
    </w:p>
    <w:p w14:paraId="6AC66EC1" w14:textId="77777777" w:rsidR="001E7B45" w:rsidRDefault="000109F5" w:rsidP="00311AB2">
      <w:pPr>
        <w:pStyle w:val="Bibliography"/>
        <w:spacing w:line="360" w:lineRule="auto"/>
      </w:pPr>
      <w:bookmarkStart w:id="17" w:name="ref-Appadurai2004"/>
      <w:bookmarkStart w:id="18" w:name="refs"/>
      <w:r>
        <w:t xml:space="preserve">Appadurai, Arjun. 2004. “The Capacity to Aspire.” </w:t>
      </w:r>
      <w:r>
        <w:rPr>
          <w:i/>
          <w:iCs/>
        </w:rPr>
        <w:t>Culture and Public Action</w:t>
      </w:r>
      <w:r>
        <w:t>, 59–84.</w:t>
      </w:r>
    </w:p>
    <w:p w14:paraId="5993DA0E" w14:textId="77777777" w:rsidR="001E7B45" w:rsidRPr="00311AB2" w:rsidRDefault="000109F5" w:rsidP="00311AB2">
      <w:pPr>
        <w:pStyle w:val="Bibliography"/>
        <w:spacing w:line="360" w:lineRule="auto"/>
        <w:rPr>
          <w:lang w:val="fr-FR"/>
        </w:rPr>
      </w:pPr>
      <w:bookmarkStart w:id="19" w:name="ref-Banerjee2011"/>
      <w:bookmarkEnd w:id="17"/>
      <w:r>
        <w:t xml:space="preserve">Banerjee, Abhijit V., and Esther Duflo. 2011. </w:t>
      </w:r>
      <w:r>
        <w:rPr>
          <w:i/>
          <w:iCs/>
        </w:rPr>
        <w:t>Poor Economics : A Radical Rethinking of the Way to Fight Global Poverty</w:t>
      </w:r>
      <w:r>
        <w:t xml:space="preserve">. </w:t>
      </w:r>
      <w:r w:rsidRPr="00311AB2">
        <w:rPr>
          <w:lang w:val="fr-FR"/>
        </w:rPr>
        <w:t xml:space="preserve">New </w:t>
      </w:r>
      <w:proofErr w:type="gramStart"/>
      <w:r w:rsidRPr="00311AB2">
        <w:rPr>
          <w:lang w:val="fr-FR"/>
        </w:rPr>
        <w:t>York:</w:t>
      </w:r>
      <w:proofErr w:type="gramEnd"/>
      <w:r w:rsidRPr="00311AB2">
        <w:rPr>
          <w:lang w:val="fr-FR"/>
        </w:rPr>
        <w:t xml:space="preserve"> </w:t>
      </w:r>
      <w:proofErr w:type="spellStart"/>
      <w:r w:rsidRPr="00311AB2">
        <w:rPr>
          <w:lang w:val="fr-FR"/>
        </w:rPr>
        <w:t>PublicAffairs</w:t>
      </w:r>
      <w:proofErr w:type="spellEnd"/>
      <w:r w:rsidRPr="00311AB2">
        <w:rPr>
          <w:lang w:val="fr-FR"/>
        </w:rPr>
        <w:t>.</w:t>
      </w:r>
    </w:p>
    <w:p w14:paraId="18212561" w14:textId="77777777" w:rsidR="001E7B45" w:rsidRDefault="000109F5" w:rsidP="00311AB2">
      <w:pPr>
        <w:pStyle w:val="Bibliography"/>
        <w:spacing w:line="360" w:lineRule="auto"/>
      </w:pPr>
      <w:bookmarkStart w:id="20" w:name="ref-Bercegol2020"/>
      <w:bookmarkEnd w:id="19"/>
      <w:proofErr w:type="spellStart"/>
      <w:r w:rsidRPr="00311AB2">
        <w:rPr>
          <w:lang w:val="fr-FR"/>
        </w:rPr>
        <w:t>Bercegol</w:t>
      </w:r>
      <w:proofErr w:type="spellEnd"/>
      <w:r w:rsidRPr="00311AB2">
        <w:rPr>
          <w:lang w:val="fr-FR"/>
        </w:rPr>
        <w:t xml:space="preserve">, Rémi de, Anthony </w:t>
      </w:r>
      <w:proofErr w:type="spellStart"/>
      <w:r w:rsidRPr="00311AB2">
        <w:rPr>
          <w:lang w:val="fr-FR"/>
        </w:rPr>
        <w:t>Goreau-Ponceaud</w:t>
      </w:r>
      <w:proofErr w:type="spellEnd"/>
      <w:r w:rsidRPr="00311AB2">
        <w:rPr>
          <w:lang w:val="fr-FR"/>
        </w:rPr>
        <w:t xml:space="preserve">, </w:t>
      </w:r>
      <w:proofErr w:type="spellStart"/>
      <w:r w:rsidRPr="00311AB2">
        <w:rPr>
          <w:lang w:val="fr-FR"/>
        </w:rPr>
        <w:t>Shankare</w:t>
      </w:r>
      <w:proofErr w:type="spellEnd"/>
      <w:r w:rsidRPr="00311AB2">
        <w:rPr>
          <w:lang w:val="fr-FR"/>
        </w:rPr>
        <w:t xml:space="preserve"> </w:t>
      </w:r>
      <w:proofErr w:type="spellStart"/>
      <w:r w:rsidRPr="00311AB2">
        <w:rPr>
          <w:lang w:val="fr-FR"/>
        </w:rPr>
        <w:t>Gowda</w:t>
      </w:r>
      <w:proofErr w:type="spellEnd"/>
      <w:r w:rsidRPr="00311AB2">
        <w:rPr>
          <w:lang w:val="fr-FR"/>
        </w:rPr>
        <w:t xml:space="preserve">, and Antony Raj. 2020. </w:t>
      </w:r>
      <w:r w:rsidRPr="00D65085">
        <w:rPr>
          <w:lang w:val="fr-FR"/>
        </w:rPr>
        <w:t xml:space="preserve">“Confiner Les Marges, Marginaliser Les Confins : La Souffrance Des Oubliés Du </w:t>
      </w:r>
      <w:proofErr w:type="spellStart"/>
      <w:r w:rsidRPr="00D65085">
        <w:rPr>
          <w:lang w:val="fr-FR"/>
        </w:rPr>
        <w:t>Lockdown</w:t>
      </w:r>
      <w:proofErr w:type="spellEnd"/>
      <w:r w:rsidRPr="00D65085">
        <w:rPr>
          <w:lang w:val="fr-FR"/>
        </w:rPr>
        <w:t xml:space="preserve"> Dans Les Villes Indiennes.” </w:t>
      </w:r>
      <w:proofErr w:type="spellStart"/>
      <w:r>
        <w:rPr>
          <w:i/>
          <w:iCs/>
        </w:rPr>
        <w:t>EchoGéo</w:t>
      </w:r>
      <w:proofErr w:type="spellEnd"/>
      <w:r>
        <w:t xml:space="preserve">, May. </w:t>
      </w:r>
      <w:hyperlink r:id="rId20">
        <w:r>
          <w:rPr>
            <w:rStyle w:val="Hyperlink"/>
          </w:rPr>
          <w:t>https://doi.org/10.4000/echogeo.19289</w:t>
        </w:r>
      </w:hyperlink>
      <w:r>
        <w:t>.</w:t>
      </w:r>
    </w:p>
    <w:p w14:paraId="4AA3A8FE" w14:textId="77777777" w:rsidR="001E7B45" w:rsidRDefault="000109F5" w:rsidP="00311AB2">
      <w:pPr>
        <w:pStyle w:val="Bibliography"/>
        <w:spacing w:line="360" w:lineRule="auto"/>
      </w:pPr>
      <w:bookmarkStart w:id="21" w:name="ref-Bhagat2020"/>
      <w:bookmarkEnd w:id="20"/>
      <w:r>
        <w:t>Bhagat, R. B., R. S. Reshmi, Reshmi Sahoo, Archana K. Roy, and Dipti Govil. 2020. “The COVID-19, Migration and Livelihood in India. A Background Paper for Policy Makers.” Mumbai: International Institute for Population Sciences.</w:t>
      </w:r>
    </w:p>
    <w:p w14:paraId="0396FF4E" w14:textId="77777777" w:rsidR="001E7B45" w:rsidRDefault="000109F5" w:rsidP="00311AB2">
      <w:pPr>
        <w:pStyle w:val="Bibliography"/>
        <w:spacing w:line="360" w:lineRule="auto"/>
      </w:pPr>
      <w:bookmarkStart w:id="22" w:name="ref-Breman1974"/>
      <w:bookmarkEnd w:id="21"/>
      <w:r>
        <w:t xml:space="preserve">Breman, Jan. 1974. </w:t>
      </w:r>
      <w:r>
        <w:rPr>
          <w:i/>
          <w:iCs/>
        </w:rPr>
        <w:t>Patronage and Exploitation: Changing Agrarian Relations in South Gujarat, India</w:t>
      </w:r>
      <w:r>
        <w:t>. Berkeley: University of California Press.</w:t>
      </w:r>
    </w:p>
    <w:p w14:paraId="52CCFD72" w14:textId="77777777" w:rsidR="001E7B45" w:rsidRDefault="000109F5" w:rsidP="00311AB2">
      <w:pPr>
        <w:pStyle w:val="Bibliography"/>
        <w:spacing w:line="360" w:lineRule="auto"/>
      </w:pPr>
      <w:bookmarkStart w:id="23" w:name="ref-Chancel2019"/>
      <w:bookmarkEnd w:id="22"/>
      <w:r>
        <w:t xml:space="preserve">Chancel, Lucas, and Thomas Piketty. 2019. “Indian Income Inequality, 1922-2015: From British Raj to Billionaire Raj?” </w:t>
      </w:r>
      <w:r>
        <w:rPr>
          <w:i/>
          <w:iCs/>
        </w:rPr>
        <w:t>Review of Income and Wealth</w:t>
      </w:r>
      <w:r>
        <w:t xml:space="preserve"> 65 (S1). </w:t>
      </w:r>
      <w:hyperlink r:id="rId21">
        <w:r>
          <w:rPr>
            <w:rStyle w:val="Hyperlink"/>
          </w:rPr>
          <w:t>https://doi.org/10.1111/roiw.12439</w:t>
        </w:r>
      </w:hyperlink>
      <w:r>
        <w:t>.</w:t>
      </w:r>
    </w:p>
    <w:p w14:paraId="1D23DB67" w14:textId="77777777" w:rsidR="001E7B45" w:rsidRDefault="000109F5" w:rsidP="00311AB2">
      <w:pPr>
        <w:pStyle w:val="Bibliography"/>
        <w:spacing w:line="360" w:lineRule="auto"/>
      </w:pPr>
      <w:bookmarkStart w:id="24" w:name="ref-Cliggett2005"/>
      <w:bookmarkEnd w:id="23"/>
      <w:r>
        <w:t xml:space="preserve">Cliggett, Lisa. 2005. </w:t>
      </w:r>
      <w:r>
        <w:rPr>
          <w:i/>
          <w:iCs/>
        </w:rPr>
        <w:t>Grains from Grass: Aging, Gender and Famine in Rural Africa</w:t>
      </w:r>
      <w:r>
        <w:t>. New-York; London: Cornell University Press.</w:t>
      </w:r>
    </w:p>
    <w:p w14:paraId="03A4C1DC" w14:textId="77777777" w:rsidR="001E7B45" w:rsidRDefault="000109F5" w:rsidP="00311AB2">
      <w:pPr>
        <w:pStyle w:val="Bibliography"/>
        <w:spacing w:line="360" w:lineRule="auto"/>
      </w:pPr>
      <w:bookmarkStart w:id="25" w:name="ref-Collins2009"/>
      <w:bookmarkEnd w:id="24"/>
      <w:r>
        <w:t xml:space="preserve">Collins, Daryl, Jonathan Morduch, Stuart Rutherford, and Orlanda Ruthven. 2009. </w:t>
      </w:r>
      <w:r>
        <w:rPr>
          <w:i/>
          <w:iCs/>
        </w:rPr>
        <w:t>Portfolios of the Poor: How the World’s Poor Live on $2 a Day</w:t>
      </w:r>
      <w:r>
        <w:t xml:space="preserve">. Princeton: Princeton University Press. </w:t>
      </w:r>
      <w:hyperlink r:id="rId22">
        <w:r>
          <w:rPr>
            <w:rStyle w:val="Hyperlink"/>
          </w:rPr>
          <w:t>https://doi.org/10.1515/9781400829965</w:t>
        </w:r>
      </w:hyperlink>
      <w:r>
        <w:t>.</w:t>
      </w:r>
    </w:p>
    <w:p w14:paraId="62ADB451" w14:textId="77777777" w:rsidR="001E7B45" w:rsidRDefault="000109F5" w:rsidP="00311AB2">
      <w:pPr>
        <w:pStyle w:val="Bibliography"/>
        <w:spacing w:line="360" w:lineRule="auto"/>
      </w:pPr>
      <w:bookmarkStart w:id="26" w:name="ref-DeNeve2016"/>
      <w:bookmarkEnd w:id="25"/>
      <w:r>
        <w:lastRenderedPageBreak/>
        <w:t xml:space="preserve">De Neve, Geert. 2016. “The Economies of Love: Love Marriage, Kin Support, and Aspiration in a South Indian Garment City.” </w:t>
      </w:r>
      <w:r>
        <w:rPr>
          <w:i/>
          <w:iCs/>
        </w:rPr>
        <w:t>Modern Asian Studies</w:t>
      </w:r>
      <w:r>
        <w:t xml:space="preserve"> 50 (4): 1220–49. </w:t>
      </w:r>
      <w:hyperlink r:id="rId23">
        <w:r>
          <w:rPr>
            <w:rStyle w:val="Hyperlink"/>
          </w:rPr>
          <w:t>https://doi.org/10.1017/s0026749x14000742</w:t>
        </w:r>
      </w:hyperlink>
      <w:r>
        <w:t>.</w:t>
      </w:r>
    </w:p>
    <w:p w14:paraId="3CEB6563" w14:textId="77777777" w:rsidR="001E7B45" w:rsidRDefault="000109F5" w:rsidP="00311AB2">
      <w:pPr>
        <w:pStyle w:val="Bibliography"/>
        <w:spacing w:line="360" w:lineRule="auto"/>
      </w:pPr>
      <w:bookmarkStart w:id="27" w:name="ref-Demirguc2018"/>
      <w:bookmarkEnd w:id="26"/>
      <w:r>
        <w:t>Demirgüç-Kunt, Asli, Leora Klapper, Dorothe Singer, Saniya Ansar, and Jake Hess. 2018. “The Global Findex Database 2017: Measuring Financial Inclusion and the Fintech Revelution.” Washington DC: The World Bank.</w:t>
      </w:r>
    </w:p>
    <w:p w14:paraId="2D9D5843" w14:textId="77777777" w:rsidR="001E7B45" w:rsidRDefault="000109F5" w:rsidP="00311AB2">
      <w:pPr>
        <w:pStyle w:val="Bibliography"/>
        <w:spacing w:line="360" w:lineRule="auto"/>
      </w:pPr>
      <w:bookmarkStart w:id="28" w:name="ref-Deshpande2020"/>
      <w:bookmarkEnd w:id="27"/>
      <w:r>
        <w:t>Deshpande, Satish. 2020. “Coronavirus: impact on Indian Economy.” Seminar.</w:t>
      </w:r>
    </w:p>
    <w:p w14:paraId="084FDF41" w14:textId="77777777" w:rsidR="001E7B45" w:rsidRPr="00311AB2" w:rsidRDefault="000109F5" w:rsidP="00311AB2">
      <w:pPr>
        <w:pStyle w:val="Bibliography"/>
        <w:spacing w:line="360" w:lineRule="auto"/>
        <w:rPr>
          <w:lang w:val="fr-FR"/>
        </w:rPr>
      </w:pPr>
      <w:bookmarkStart w:id="29" w:name="ref-Douglas1980"/>
      <w:bookmarkEnd w:id="28"/>
      <w:r>
        <w:t xml:space="preserve">Douglas, Mary, and Baron Isherwood. 1980. </w:t>
      </w:r>
      <w:r>
        <w:rPr>
          <w:i/>
          <w:iCs/>
        </w:rPr>
        <w:t>The World of Goods</w:t>
      </w:r>
      <w:r>
        <w:t xml:space="preserve">. </w:t>
      </w:r>
      <w:proofErr w:type="spellStart"/>
      <w:proofErr w:type="gramStart"/>
      <w:r w:rsidRPr="00311AB2">
        <w:rPr>
          <w:lang w:val="fr-FR"/>
        </w:rPr>
        <w:t>Harmondsworth</w:t>
      </w:r>
      <w:proofErr w:type="spellEnd"/>
      <w:r w:rsidRPr="00311AB2">
        <w:rPr>
          <w:lang w:val="fr-FR"/>
        </w:rPr>
        <w:t>:</w:t>
      </w:r>
      <w:proofErr w:type="gramEnd"/>
      <w:r w:rsidRPr="00311AB2">
        <w:rPr>
          <w:lang w:val="fr-FR"/>
        </w:rPr>
        <w:t xml:space="preserve"> Penguin Books.</w:t>
      </w:r>
    </w:p>
    <w:p w14:paraId="7B347D14" w14:textId="77777777" w:rsidR="001E7B45" w:rsidRDefault="000109F5" w:rsidP="00311AB2">
      <w:pPr>
        <w:pStyle w:val="Bibliography"/>
        <w:spacing w:line="360" w:lineRule="auto"/>
      </w:pPr>
      <w:bookmarkStart w:id="30" w:name="ref-Dupuy2014"/>
      <w:bookmarkEnd w:id="29"/>
      <w:r w:rsidRPr="00311AB2">
        <w:rPr>
          <w:lang w:val="fr-FR"/>
        </w:rPr>
        <w:t xml:space="preserve">Dupuy, Jean-Pierre. </w:t>
      </w:r>
      <w:r w:rsidRPr="00D65085">
        <w:rPr>
          <w:lang w:val="fr-FR"/>
        </w:rPr>
        <w:t xml:space="preserve">2014. </w:t>
      </w:r>
      <w:r w:rsidRPr="00D65085">
        <w:rPr>
          <w:i/>
          <w:iCs/>
          <w:lang w:val="fr-FR"/>
        </w:rPr>
        <w:t xml:space="preserve">Le Sacrifice et </w:t>
      </w:r>
      <w:proofErr w:type="gramStart"/>
      <w:r w:rsidRPr="00D65085">
        <w:rPr>
          <w:i/>
          <w:iCs/>
          <w:lang w:val="fr-FR"/>
        </w:rPr>
        <w:t>l’envie:</w:t>
      </w:r>
      <w:proofErr w:type="gramEnd"/>
      <w:r w:rsidRPr="00D65085">
        <w:rPr>
          <w:i/>
          <w:iCs/>
          <w:lang w:val="fr-FR"/>
        </w:rPr>
        <w:t xml:space="preserve"> Le Libéralisme aux Prises avec la Justice Sociale</w:t>
      </w:r>
      <w:r w:rsidRPr="00D65085">
        <w:rPr>
          <w:lang w:val="fr-FR"/>
        </w:rPr>
        <w:t xml:space="preserve">. </w:t>
      </w:r>
      <w:r>
        <w:t xml:space="preserve">Paris: </w:t>
      </w:r>
      <w:proofErr w:type="spellStart"/>
      <w:r>
        <w:t>Calmann</w:t>
      </w:r>
      <w:proofErr w:type="spellEnd"/>
      <w:r>
        <w:t>-Lévy.</w:t>
      </w:r>
    </w:p>
    <w:p w14:paraId="27AF5883" w14:textId="77777777" w:rsidR="001E7B45" w:rsidRDefault="000109F5" w:rsidP="00311AB2">
      <w:pPr>
        <w:pStyle w:val="Bibliography"/>
        <w:spacing w:line="360" w:lineRule="auto"/>
      </w:pPr>
      <w:bookmarkStart w:id="31" w:name="ref-Goedecke2017"/>
      <w:bookmarkEnd w:id="30"/>
      <w:r>
        <w:t xml:space="preserve">Goedecke, Jann, Isabelle Guérin, Bert D’Espallier, and Govindan Venkatasubramanian. 2017. “Why do financial inclusion policies fail in mobilizing savings from the poor? Lessons from rural south India.” </w:t>
      </w:r>
      <w:r>
        <w:rPr>
          <w:i/>
          <w:iCs/>
        </w:rPr>
        <w:t>Development Policy Review</w:t>
      </w:r>
      <w:r>
        <w:t xml:space="preserve"> 36 (November): O201–19. </w:t>
      </w:r>
      <w:hyperlink r:id="rId24">
        <w:r>
          <w:rPr>
            <w:rStyle w:val="Hyperlink"/>
          </w:rPr>
          <w:t>https://doi.org/10.1111/dpr.12272</w:t>
        </w:r>
      </w:hyperlink>
      <w:r>
        <w:t>.</w:t>
      </w:r>
    </w:p>
    <w:p w14:paraId="0CE350F7" w14:textId="77777777" w:rsidR="001E7B45" w:rsidRDefault="000109F5" w:rsidP="00311AB2">
      <w:pPr>
        <w:pStyle w:val="Bibliography"/>
        <w:spacing w:line="360" w:lineRule="auto"/>
      </w:pPr>
      <w:bookmarkStart w:id="32" w:name="ref-Gonzalez2015"/>
      <w:bookmarkEnd w:id="31"/>
      <w:r>
        <w:t xml:space="preserve">Gonzalez, Felipe. 2015. “Where Are the Consumers?” </w:t>
      </w:r>
      <w:r>
        <w:rPr>
          <w:i/>
          <w:iCs/>
        </w:rPr>
        <w:t>Cultural Studies</w:t>
      </w:r>
      <w:r>
        <w:t xml:space="preserve"> 29 (5-6): 781–806. </w:t>
      </w:r>
      <w:hyperlink r:id="rId25">
        <w:r>
          <w:rPr>
            <w:rStyle w:val="Hyperlink"/>
          </w:rPr>
          <w:t>https://doi.org/10.1080/09502386.2015.1017144</w:t>
        </w:r>
      </w:hyperlink>
      <w:r>
        <w:t>.</w:t>
      </w:r>
    </w:p>
    <w:p w14:paraId="07A5D020" w14:textId="77777777" w:rsidR="001E7B45" w:rsidRDefault="000109F5" w:rsidP="00311AB2">
      <w:pPr>
        <w:pStyle w:val="Bibliography"/>
        <w:spacing w:line="360" w:lineRule="auto"/>
      </w:pPr>
      <w:bookmarkStart w:id="33" w:name="ref-Gregory1997"/>
      <w:bookmarkEnd w:id="32"/>
      <w:r>
        <w:t xml:space="preserve">Gregory, Chris A. 1997. </w:t>
      </w:r>
      <w:r>
        <w:rPr>
          <w:i/>
          <w:iCs/>
        </w:rPr>
        <w:t>Savage Money: The Anthropology and Politics of Commodity Exchange</w:t>
      </w:r>
      <w:r>
        <w:t>. Amsterdam: Arwood Academic Publishers.</w:t>
      </w:r>
    </w:p>
    <w:p w14:paraId="7F2E1E88" w14:textId="77777777" w:rsidR="001E7B45" w:rsidRDefault="000109F5" w:rsidP="00311AB2">
      <w:pPr>
        <w:pStyle w:val="Bibliography"/>
        <w:spacing w:line="360" w:lineRule="auto"/>
      </w:pPr>
      <w:bookmarkStart w:id="34" w:name="ref-Guerin2017"/>
      <w:bookmarkEnd w:id="33"/>
      <w:r>
        <w:t xml:space="preserve">Guérin, Isabelle, Youna Lanos, Sébastien Michiels, Christophe Jalil Nordman, and Govindan Venkatasubramanian. 2017. “Insights on Demonetisation from Rural Tamil Nadu.” </w:t>
      </w:r>
      <w:r>
        <w:rPr>
          <w:i/>
          <w:iCs/>
        </w:rPr>
        <w:t>Economic &amp; Political Weekly</w:t>
      </w:r>
      <w:r>
        <w:t xml:space="preserve"> 52: 44–53.</w:t>
      </w:r>
    </w:p>
    <w:p w14:paraId="27564F7A" w14:textId="77777777" w:rsidR="001E7B45" w:rsidRDefault="000109F5" w:rsidP="00311AB2">
      <w:pPr>
        <w:pStyle w:val="Bibliography"/>
        <w:spacing w:line="360" w:lineRule="auto"/>
      </w:pPr>
      <w:bookmarkStart w:id="35" w:name="ref-Guerin2013"/>
      <w:bookmarkEnd w:id="34"/>
      <w:r>
        <w:t xml:space="preserve">Guérin, Isabelle, Solène Morvant-Roux, and Magdalena Villareal, eds. 2013. </w:t>
      </w:r>
      <w:r>
        <w:rPr>
          <w:i/>
          <w:iCs/>
        </w:rPr>
        <w:t>Microfinance, Debt and over-indebtedness: Juggling with Money</w:t>
      </w:r>
      <w:r>
        <w:t>. London; New-York: Routledge.</w:t>
      </w:r>
    </w:p>
    <w:p w14:paraId="3533CFC4" w14:textId="77777777" w:rsidR="001E7B45" w:rsidRDefault="000109F5" w:rsidP="00311AB2">
      <w:pPr>
        <w:pStyle w:val="Bibliography"/>
        <w:spacing w:line="360" w:lineRule="auto"/>
      </w:pPr>
      <w:bookmarkStart w:id="36" w:name="ref-Guerin2019"/>
      <w:bookmarkEnd w:id="35"/>
      <w:r>
        <w:lastRenderedPageBreak/>
        <w:t xml:space="preserve">Guérin, Isabelle, Govindan Venkatasubramanian, and Santosh Kumar. 2019. “Rethinking Saving: Indian Ceremonial Gifts as Relational and Reproductive Saving.” </w:t>
      </w:r>
      <w:r>
        <w:rPr>
          <w:i/>
          <w:iCs/>
        </w:rPr>
        <w:t>Journal of Cultural Economy</w:t>
      </w:r>
      <w:r>
        <w:t xml:space="preserve">, April, 1–15. </w:t>
      </w:r>
      <w:hyperlink r:id="rId26">
        <w:r>
          <w:rPr>
            <w:rStyle w:val="Hyperlink"/>
          </w:rPr>
          <w:t>https://doi.org/10.1080/17530350.2019.1583594</w:t>
        </w:r>
      </w:hyperlink>
      <w:r>
        <w:t>.</w:t>
      </w:r>
    </w:p>
    <w:p w14:paraId="1FB660E1" w14:textId="77777777" w:rsidR="001E7B45" w:rsidRDefault="000109F5" w:rsidP="00311AB2">
      <w:pPr>
        <w:pStyle w:val="Bibliography"/>
        <w:spacing w:line="360" w:lineRule="auto"/>
      </w:pPr>
      <w:bookmarkStart w:id="37" w:name="ref-Guerin2014"/>
      <w:bookmarkEnd w:id="36"/>
      <w:r>
        <w:t xml:space="preserve">Guérin, Isabelle, Govindan Venkatasubramanian, and Sébastien Michiels. 2014. “Labour in Contemporary South India.” In </w:t>
      </w:r>
      <w:r>
        <w:rPr>
          <w:i/>
          <w:iCs/>
        </w:rPr>
        <w:t>Indian Capitalism in Development</w:t>
      </w:r>
      <w:r>
        <w:t>, edited by Barbara Harriss-White and Judith Heyer, 118–35. London: Routledge.</w:t>
      </w:r>
    </w:p>
    <w:p w14:paraId="32AF66F0" w14:textId="77777777" w:rsidR="001E7B45" w:rsidRDefault="000109F5" w:rsidP="00311AB2">
      <w:pPr>
        <w:pStyle w:val="Bibliography"/>
        <w:spacing w:line="360" w:lineRule="auto"/>
      </w:pPr>
      <w:bookmarkStart w:id="38" w:name="ref-Han2012"/>
      <w:bookmarkEnd w:id="37"/>
      <w:r>
        <w:t xml:space="preserve">Han, Clara. 2012. </w:t>
      </w:r>
      <w:r>
        <w:rPr>
          <w:i/>
          <w:iCs/>
        </w:rPr>
        <w:t>Life in Debt: Times of Care and Violence in Neoliberal Chile</w:t>
      </w:r>
      <w:r>
        <w:t>. Berkeley: University of California Press.</w:t>
      </w:r>
    </w:p>
    <w:p w14:paraId="0E0CDECE" w14:textId="77777777" w:rsidR="001E7B45" w:rsidRDefault="000109F5" w:rsidP="00311AB2">
      <w:pPr>
        <w:pStyle w:val="Bibliography"/>
        <w:spacing w:line="360" w:lineRule="auto"/>
      </w:pPr>
      <w:bookmarkStart w:id="39" w:name="ref-Harriss2013"/>
      <w:bookmarkEnd w:id="38"/>
      <w:r>
        <w:t xml:space="preserve">Harriss, John. 2013. “Does ‘Landlordism’ Still Matter? Reflections on Agrarian Change in India.” </w:t>
      </w:r>
      <w:r>
        <w:rPr>
          <w:i/>
          <w:iCs/>
        </w:rPr>
        <w:t>Journal of Agrarian Change</w:t>
      </w:r>
      <w:r>
        <w:t xml:space="preserve"> 13 (3): 351–64. </w:t>
      </w:r>
      <w:hyperlink r:id="rId27">
        <w:r>
          <w:rPr>
            <w:rStyle w:val="Hyperlink"/>
          </w:rPr>
          <w:t>https://doi.org/10.1111/joac.12024</w:t>
        </w:r>
      </w:hyperlink>
      <w:r>
        <w:t>.</w:t>
      </w:r>
    </w:p>
    <w:p w14:paraId="1ECC419B" w14:textId="77777777" w:rsidR="001E7B45" w:rsidRDefault="000109F5" w:rsidP="00311AB2">
      <w:pPr>
        <w:pStyle w:val="Bibliography"/>
        <w:spacing w:line="360" w:lineRule="auto"/>
      </w:pPr>
      <w:bookmarkStart w:id="40" w:name="ref-Harriss2016"/>
      <w:bookmarkEnd w:id="39"/>
      <w:r>
        <w:t xml:space="preserve">Harriss, John, and J. Jeyaranjan. 2016. “Rural Tamil Nadu in the Liberalization Era: What Do We Learn from Village Studies?” In </w:t>
      </w:r>
      <w:r>
        <w:rPr>
          <w:i/>
          <w:iCs/>
        </w:rPr>
        <w:t>The Changing Village in India: Insights from Longitudinal Research</w:t>
      </w:r>
      <w:r>
        <w:t xml:space="preserve">, edited by Himanshu, Praveen Jha, and Gerry Rodgers. Oxford University Press. </w:t>
      </w:r>
      <w:hyperlink r:id="rId28">
        <w:r>
          <w:rPr>
            <w:rStyle w:val="Hyperlink"/>
          </w:rPr>
          <w:t>https://doi.org/10.1093/acprof:oso/9780199461868.001.0001</w:t>
        </w:r>
      </w:hyperlink>
      <w:r>
        <w:t>.</w:t>
      </w:r>
    </w:p>
    <w:p w14:paraId="1CFD96B3" w14:textId="77777777" w:rsidR="001E7B45" w:rsidRDefault="000109F5" w:rsidP="00311AB2">
      <w:pPr>
        <w:pStyle w:val="Bibliography"/>
        <w:spacing w:line="360" w:lineRule="auto"/>
      </w:pPr>
      <w:bookmarkStart w:id="41" w:name="ref-Harriss-White2003"/>
      <w:bookmarkEnd w:id="40"/>
      <w:r>
        <w:t xml:space="preserve">Harriss-White, Barbara. 2003. </w:t>
      </w:r>
      <w:r>
        <w:rPr>
          <w:i/>
          <w:iCs/>
        </w:rPr>
        <w:t>India Working: Essays on Society and Economy</w:t>
      </w:r>
      <w:r>
        <w:t>. Vol. 8. Cambridge: Cambridge University Press.</w:t>
      </w:r>
    </w:p>
    <w:p w14:paraId="478B1E21" w14:textId="77777777" w:rsidR="001E7B45" w:rsidRDefault="000109F5" w:rsidP="00311AB2">
      <w:pPr>
        <w:pStyle w:val="Bibliography"/>
        <w:spacing w:line="360" w:lineRule="auto"/>
      </w:pPr>
      <w:bookmarkStart w:id="42" w:name="ref-Harriss-White2020"/>
      <w:bookmarkEnd w:id="41"/>
      <w:r>
        <w:t xml:space="preserve">———. 2020. “The Modi Sarkar’s Project for India’s Informal Economy.” </w:t>
      </w:r>
      <w:r>
        <w:rPr>
          <w:i/>
          <w:iCs/>
        </w:rPr>
        <w:t>The Wire</w:t>
      </w:r>
      <w:r>
        <w:t xml:space="preserve">, May. </w:t>
      </w:r>
      <w:hyperlink r:id="rId29">
        <w:r>
          <w:rPr>
            <w:rStyle w:val="Hyperlink"/>
          </w:rPr>
          <w:t>https://thewire.in/political-economy/the-modi-sarkars-project-for-indias-informal-economy</w:t>
        </w:r>
      </w:hyperlink>
      <w:r>
        <w:t>.</w:t>
      </w:r>
    </w:p>
    <w:p w14:paraId="3F0FAE4E" w14:textId="77777777" w:rsidR="001E7B45" w:rsidRDefault="000109F5" w:rsidP="00311AB2">
      <w:pPr>
        <w:pStyle w:val="Bibliography"/>
        <w:spacing w:line="360" w:lineRule="auto"/>
      </w:pPr>
      <w:bookmarkStart w:id="43" w:name="ref-Hart2000"/>
      <w:bookmarkEnd w:id="42"/>
      <w:r>
        <w:t xml:space="preserve">Hart, Keith. 2000. “Kinship, Contract, and Trust: The Economic Organization of Migrants in an African City Slum.” </w:t>
      </w:r>
      <w:r>
        <w:rPr>
          <w:i/>
          <w:iCs/>
        </w:rPr>
        <w:t>Trust: Laking and Breaking Cooperative Relations</w:t>
      </w:r>
      <w:r>
        <w:t>, 176–93.</w:t>
      </w:r>
    </w:p>
    <w:p w14:paraId="579EC9C4" w14:textId="77777777" w:rsidR="001E7B45" w:rsidRDefault="000109F5" w:rsidP="00311AB2">
      <w:pPr>
        <w:pStyle w:val="Bibliography"/>
        <w:spacing w:line="360" w:lineRule="auto"/>
      </w:pPr>
      <w:bookmarkStart w:id="44" w:name="ref-Heyer2012"/>
      <w:bookmarkEnd w:id="43"/>
      <w:r>
        <w:t xml:space="preserve">Heyer, Judith. 2012. “Labour Standards and Social Policy: A South Indian Case Study.” </w:t>
      </w:r>
      <w:r>
        <w:rPr>
          <w:i/>
          <w:iCs/>
        </w:rPr>
        <w:t>Global Labour Journal</w:t>
      </w:r>
      <w:r>
        <w:t xml:space="preserve"> 3 (1). </w:t>
      </w:r>
      <w:hyperlink r:id="rId30">
        <w:r>
          <w:rPr>
            <w:rStyle w:val="Hyperlink"/>
          </w:rPr>
          <w:t>https://doi.org/10.15173/glj.v3i1.1114</w:t>
        </w:r>
      </w:hyperlink>
      <w:r>
        <w:t>.</w:t>
      </w:r>
    </w:p>
    <w:p w14:paraId="01AF3F78" w14:textId="77777777" w:rsidR="001E7B45" w:rsidRDefault="000109F5" w:rsidP="00311AB2">
      <w:pPr>
        <w:pStyle w:val="Bibliography"/>
        <w:spacing w:line="360" w:lineRule="auto"/>
      </w:pPr>
      <w:bookmarkStart w:id="45" w:name="ref-Hilger2020"/>
      <w:bookmarkEnd w:id="44"/>
      <w:r>
        <w:t>Hilger, Anne, and Christophe Jalil Nordman. 2020. “The Determinants of Trust: Evidence from Rural South India.” Discussion Paper 13150. Bonn: IZA (Institute of Labor Economics).</w:t>
      </w:r>
    </w:p>
    <w:p w14:paraId="3B229B36" w14:textId="77777777" w:rsidR="001E7B45" w:rsidRDefault="000109F5" w:rsidP="00311AB2">
      <w:pPr>
        <w:pStyle w:val="Bibliography"/>
        <w:spacing w:line="360" w:lineRule="auto"/>
      </w:pPr>
      <w:bookmarkStart w:id="46" w:name="ref-Himanshu2011"/>
      <w:bookmarkEnd w:id="45"/>
      <w:r>
        <w:lastRenderedPageBreak/>
        <w:t xml:space="preserve">Himanshu. 2011. “Employment Trends in India: A Re-examination.” </w:t>
      </w:r>
      <w:r>
        <w:rPr>
          <w:i/>
          <w:iCs/>
        </w:rPr>
        <w:t>Economic &amp; Political Weekly</w:t>
      </w:r>
      <w:r>
        <w:t xml:space="preserve"> 46 (37).</w:t>
      </w:r>
    </w:p>
    <w:p w14:paraId="39A93E70" w14:textId="77777777" w:rsidR="001E7B45" w:rsidRDefault="000109F5" w:rsidP="00311AB2">
      <w:pPr>
        <w:pStyle w:val="Bibliography"/>
        <w:spacing w:line="360" w:lineRule="auto"/>
      </w:pPr>
      <w:bookmarkStart w:id="47" w:name="ref-ILO2016"/>
      <w:bookmarkEnd w:id="46"/>
      <w:r>
        <w:t>ILO. 2016. “India Labour Market Update.” Data. Geneva: International Labour Organization.</w:t>
      </w:r>
    </w:p>
    <w:p w14:paraId="2CCD14AC" w14:textId="77777777" w:rsidR="001E7B45" w:rsidRDefault="000109F5" w:rsidP="00311AB2">
      <w:pPr>
        <w:pStyle w:val="Bibliography"/>
        <w:spacing w:line="360" w:lineRule="auto"/>
      </w:pPr>
      <w:bookmarkStart w:id="48" w:name="ref-ILO2018"/>
      <w:bookmarkEnd w:id="47"/>
      <w:r>
        <w:t>———. 2018. “Paid Employment vs Vulnerable Employment.” Data. Spot Light on Work Statistics 3. Geneva: International Labour Organization; ILOSTAT.</w:t>
      </w:r>
    </w:p>
    <w:p w14:paraId="529ED6FC" w14:textId="77777777" w:rsidR="001E7B45" w:rsidRDefault="000109F5" w:rsidP="00311AB2">
      <w:pPr>
        <w:pStyle w:val="Bibliography"/>
        <w:spacing w:line="360" w:lineRule="auto"/>
      </w:pPr>
      <w:bookmarkStart w:id="49" w:name="ref-ILO2020"/>
      <w:bookmarkEnd w:id="48"/>
      <w:r>
        <w:t>———. 2020. “ILO Monitor: COVID-19 and the World of Work. Third Edition Updated Estimates and Analysis.” Data. Geneva: International Labour Organization.</w:t>
      </w:r>
    </w:p>
    <w:p w14:paraId="32AA6CD8" w14:textId="77777777" w:rsidR="001E7B45" w:rsidRDefault="000109F5" w:rsidP="00311AB2">
      <w:pPr>
        <w:pStyle w:val="Bibliography"/>
        <w:spacing w:line="360" w:lineRule="auto"/>
      </w:pPr>
      <w:bookmarkStart w:id="50" w:name="ref-James2015"/>
      <w:bookmarkEnd w:id="49"/>
      <w:r>
        <w:t xml:space="preserve">James, Deborah. 2015. </w:t>
      </w:r>
      <w:r>
        <w:rPr>
          <w:i/>
          <w:iCs/>
        </w:rPr>
        <w:t>Money from Nothing: Indebtedness and Aspiration in South Africa</w:t>
      </w:r>
      <w:r>
        <w:t>. Stanford: Stanford University Press.</w:t>
      </w:r>
    </w:p>
    <w:p w14:paraId="4F1E7881" w14:textId="77777777" w:rsidR="001E7B45" w:rsidRDefault="000109F5" w:rsidP="00311AB2">
      <w:pPr>
        <w:pStyle w:val="Bibliography"/>
        <w:spacing w:line="360" w:lineRule="auto"/>
      </w:pPr>
      <w:bookmarkStart w:id="51" w:name="ref-Sahas2020"/>
      <w:bookmarkEnd w:id="50"/>
      <w:r>
        <w:t xml:space="preserve">Jan Sahas. 2020. </w:t>
      </w:r>
      <w:r>
        <w:rPr>
          <w:i/>
          <w:iCs/>
        </w:rPr>
        <w:t>Voices of the Invisibles. A Rapid Assessment on the Impact of Covid-19 Lockdown on Internal Migrant Workers. Recommandations for the State, Industry and Philantropists</w:t>
      </w:r>
      <w:r>
        <w:t>. New-Delhi: Jan Sahas (People’s Courage fo Change).</w:t>
      </w:r>
    </w:p>
    <w:p w14:paraId="5F01C521" w14:textId="77777777" w:rsidR="001E7B45" w:rsidRDefault="000109F5" w:rsidP="00311AB2">
      <w:pPr>
        <w:pStyle w:val="Bibliography"/>
        <w:spacing w:line="360" w:lineRule="auto"/>
      </w:pPr>
      <w:bookmarkStart w:id="52" w:name="ref-Kane2012"/>
      <w:bookmarkEnd w:id="51"/>
      <w:r>
        <w:t xml:space="preserve">Kāne, Panduranga Vamana. 2012. </w:t>
      </w:r>
      <w:r>
        <w:rPr>
          <w:i/>
          <w:iCs/>
        </w:rPr>
        <w:t>History of Dharmasastra (Ancient and Mediaeval Religious and Civil Law)</w:t>
      </w:r>
      <w:r>
        <w:t>. Poona: Bhandarkar Oriental Research Institute.</w:t>
      </w:r>
    </w:p>
    <w:p w14:paraId="61F45BC7" w14:textId="77777777" w:rsidR="001E7B45" w:rsidRDefault="000109F5" w:rsidP="00311AB2">
      <w:pPr>
        <w:pStyle w:val="Bibliography"/>
        <w:spacing w:line="360" w:lineRule="auto"/>
      </w:pPr>
      <w:bookmarkStart w:id="53" w:name="ref-Kar2018"/>
      <w:bookmarkEnd w:id="52"/>
      <w:r>
        <w:t xml:space="preserve">Kar, Sohini. 2018. </w:t>
      </w:r>
      <w:r>
        <w:rPr>
          <w:i/>
          <w:iCs/>
        </w:rPr>
        <w:t>Financializing Poverty: Labor and Risk in Indian Microfinance</w:t>
      </w:r>
      <w:r>
        <w:t>. Stanford: Stanford University Press.</w:t>
      </w:r>
    </w:p>
    <w:p w14:paraId="7671C47F" w14:textId="77777777" w:rsidR="001E7B45" w:rsidRDefault="000109F5" w:rsidP="00311AB2">
      <w:pPr>
        <w:pStyle w:val="Bibliography"/>
        <w:spacing w:line="360" w:lineRule="auto"/>
      </w:pPr>
      <w:bookmarkStart w:id="54" w:name="ref-Karlan2014"/>
      <w:bookmarkEnd w:id="53"/>
      <w:r>
        <w:t xml:space="preserve">Karlan, Dean, Aishwarya Lakshmi Ratan, and Jonathan Zinman. 2014. “Savings by and for the Poor: A Research Review and Agenda.” </w:t>
      </w:r>
      <w:r>
        <w:rPr>
          <w:i/>
          <w:iCs/>
        </w:rPr>
        <w:t>Review of Income and Wealth</w:t>
      </w:r>
      <w:r>
        <w:t xml:space="preserve"> 60 (1): 36–78. </w:t>
      </w:r>
      <w:hyperlink r:id="rId31">
        <w:r>
          <w:rPr>
            <w:rStyle w:val="Hyperlink"/>
          </w:rPr>
          <w:t>https://doi.org/10.1111/roiw.12101</w:t>
        </w:r>
      </w:hyperlink>
      <w:r>
        <w:t>.</w:t>
      </w:r>
    </w:p>
    <w:p w14:paraId="058C28DD" w14:textId="77777777" w:rsidR="001E7B45" w:rsidRDefault="000109F5" w:rsidP="00311AB2">
      <w:pPr>
        <w:pStyle w:val="Bibliography"/>
        <w:spacing w:line="360" w:lineRule="auto"/>
      </w:pPr>
      <w:bookmarkStart w:id="55" w:name="ref-Landy2018"/>
      <w:bookmarkEnd w:id="54"/>
      <w:r>
        <w:t xml:space="preserve">Landy, Frédéric. 2018. “Fragmentation of Irrigated Family Farms in Southern India.” In </w:t>
      </w:r>
      <w:r>
        <w:rPr>
          <w:i/>
          <w:iCs/>
        </w:rPr>
        <w:t>Diversity of Family Farming Around the World</w:t>
      </w:r>
      <w:r>
        <w:t>, edited by P.-M. Bosc. Basingstoke: Springer International Publishing.</w:t>
      </w:r>
    </w:p>
    <w:p w14:paraId="6D0848F9" w14:textId="77777777" w:rsidR="001E7B45" w:rsidRDefault="000109F5" w:rsidP="00311AB2">
      <w:pPr>
        <w:pStyle w:val="Bibliography"/>
        <w:spacing w:line="360" w:lineRule="auto"/>
      </w:pPr>
      <w:bookmarkStart w:id="56" w:name="ref-Lavinas2017"/>
      <w:bookmarkEnd w:id="55"/>
      <w:r>
        <w:t xml:space="preserve">Lavinas, Lena. 2013. </w:t>
      </w:r>
      <w:r>
        <w:rPr>
          <w:i/>
          <w:iCs/>
        </w:rPr>
        <w:t>The Takeover of Social Policy by Financialization: the Brazilian Paradox</w:t>
      </w:r>
      <w:r>
        <w:t>. New-York: Palgrave Macmillan.</w:t>
      </w:r>
    </w:p>
    <w:p w14:paraId="71E47C7A" w14:textId="77777777" w:rsidR="001E7B45" w:rsidRDefault="000109F5" w:rsidP="00311AB2">
      <w:pPr>
        <w:pStyle w:val="Bibliography"/>
        <w:spacing w:line="360" w:lineRule="auto"/>
      </w:pPr>
      <w:bookmarkStart w:id="57" w:name="ref-Lerche2009"/>
      <w:bookmarkEnd w:id="56"/>
      <w:r>
        <w:lastRenderedPageBreak/>
        <w:t xml:space="preserve">Lerche, Jens. 2009. “From Rural Labour to Classes of Labour: Class Fragmentation, Caste and Class Struggle at the Bottom of the Indian Labour Hierarchy.” In </w:t>
      </w:r>
      <w:r>
        <w:rPr>
          <w:i/>
          <w:iCs/>
        </w:rPr>
        <w:t>The Comparative Political Economy of Development</w:t>
      </w:r>
      <w:r>
        <w:t>, 90–111. London: Routledge.</w:t>
      </w:r>
    </w:p>
    <w:p w14:paraId="6588569E" w14:textId="77777777" w:rsidR="001E7B45" w:rsidRDefault="000109F5" w:rsidP="00311AB2">
      <w:pPr>
        <w:pStyle w:val="Bibliography"/>
        <w:spacing w:line="360" w:lineRule="auto"/>
      </w:pPr>
      <w:bookmarkStart w:id="58" w:name="ref-Majid2020"/>
      <w:bookmarkEnd w:id="57"/>
      <w:r>
        <w:t xml:space="preserve">Majid, Nomaan. 2020. “How Many Casual Workers in the Cities Have Sought to Go Home ?” </w:t>
      </w:r>
      <w:r>
        <w:rPr>
          <w:i/>
          <w:iCs/>
        </w:rPr>
        <w:t>The India Forum</w:t>
      </w:r>
      <w:r>
        <w:t xml:space="preserve">, June. </w:t>
      </w:r>
      <w:hyperlink r:id="rId32">
        <w:r>
          <w:rPr>
            <w:rStyle w:val="Hyperlink"/>
          </w:rPr>
          <w:t>https://www.theindiaforum.in/article/how-many-casual-workers-cities-have-sought-go-home</w:t>
        </w:r>
      </w:hyperlink>
      <w:r>
        <w:t>.</w:t>
      </w:r>
    </w:p>
    <w:p w14:paraId="3A6FE6CE" w14:textId="77777777" w:rsidR="001E7B45" w:rsidRDefault="000109F5" w:rsidP="00311AB2">
      <w:pPr>
        <w:pStyle w:val="Bibliography"/>
        <w:spacing w:line="360" w:lineRule="auto"/>
      </w:pPr>
      <w:bookmarkStart w:id="59" w:name="ref-Mauss1993"/>
      <w:bookmarkEnd w:id="58"/>
      <w:r w:rsidRPr="00D65085">
        <w:rPr>
          <w:lang w:val="fr-FR"/>
        </w:rPr>
        <w:t xml:space="preserve">Mauss, Marcel. 1993. “Essai sur le Don, Forme et Raison de l’Échange dans les Sociétés </w:t>
      </w:r>
      <w:proofErr w:type="spellStart"/>
      <w:r w:rsidRPr="00D65085">
        <w:rPr>
          <w:lang w:val="fr-FR"/>
        </w:rPr>
        <w:t>Archaiques</w:t>
      </w:r>
      <w:proofErr w:type="spellEnd"/>
      <w:r w:rsidRPr="00D65085">
        <w:rPr>
          <w:lang w:val="fr-FR"/>
        </w:rPr>
        <w:t xml:space="preserve"> (1923-24).” </w:t>
      </w:r>
      <w:r>
        <w:t xml:space="preserve">In </w:t>
      </w:r>
      <w:proofErr w:type="spellStart"/>
      <w:r>
        <w:rPr>
          <w:i/>
          <w:iCs/>
        </w:rPr>
        <w:t>Sociologie</w:t>
      </w:r>
      <w:proofErr w:type="spellEnd"/>
      <w:r>
        <w:rPr>
          <w:i/>
          <w:iCs/>
        </w:rPr>
        <w:t xml:space="preserve"> et Anthropologie</w:t>
      </w:r>
      <w:r>
        <w:t>, 143–279. Paris: PUF.</w:t>
      </w:r>
    </w:p>
    <w:p w14:paraId="71F64CE4" w14:textId="77777777" w:rsidR="001E7B45" w:rsidRDefault="000109F5" w:rsidP="00311AB2">
      <w:pPr>
        <w:pStyle w:val="Bibliography"/>
        <w:spacing w:line="360" w:lineRule="auto"/>
      </w:pPr>
      <w:bookmarkStart w:id="60" w:name="ref-Mohanty2005"/>
      <w:bookmarkEnd w:id="59"/>
      <w:r>
        <w:t xml:space="preserve">Mohanty, Bibhuti B. 2005. “We are like the Living Dead: Farmer Suicides in Maharashtra, Western India.” </w:t>
      </w:r>
      <w:r>
        <w:rPr>
          <w:i/>
          <w:iCs/>
        </w:rPr>
        <w:t>Journal of Peasant Studies</w:t>
      </w:r>
      <w:r>
        <w:t xml:space="preserve"> 32 (2): 243–76.</w:t>
      </w:r>
    </w:p>
    <w:p w14:paraId="10F0C1CA" w14:textId="77777777" w:rsidR="001E7B45" w:rsidRDefault="000109F5" w:rsidP="00311AB2">
      <w:pPr>
        <w:pStyle w:val="Bibliography"/>
        <w:spacing w:line="360" w:lineRule="auto"/>
      </w:pPr>
      <w:bookmarkStart w:id="61" w:name="ref-Morvant2013"/>
      <w:bookmarkEnd w:id="60"/>
      <w:r>
        <w:t xml:space="preserve">Morvant-Roux, Solène. 2013. “International Migration and Over-indebtedness in Rural Mexico.” In </w:t>
      </w:r>
      <w:r>
        <w:rPr>
          <w:i/>
          <w:iCs/>
        </w:rPr>
        <w:t>Microfinance, Debt and Over-indebtedness: Juggling with Money</w:t>
      </w:r>
      <w:r>
        <w:t>, edited by Isabelle Guérin, Solène Morvant-Roux, and Magdalena Villareal, 170–92. London; New-York: Routledge.</w:t>
      </w:r>
    </w:p>
    <w:p w14:paraId="7F4718B4" w14:textId="77777777" w:rsidR="001E7B45" w:rsidRDefault="000109F5" w:rsidP="00311AB2">
      <w:pPr>
        <w:pStyle w:val="Bibliography"/>
        <w:spacing w:line="360" w:lineRule="auto"/>
      </w:pPr>
      <w:bookmarkStart w:id="62" w:name="ref-Mukho2020"/>
      <w:bookmarkEnd w:id="61"/>
      <w:r>
        <w:t xml:space="preserve">Mukhopadhyay, Partha, Mukta Naik, and Yamini Aiyar. 2020. “The Coronavirus Pandemic: Why are Indian’s Migrants Walking Home?” Center for Policy Research. </w:t>
      </w:r>
      <w:hyperlink r:id="rId33">
        <w:r>
          <w:rPr>
            <w:rStyle w:val="Hyperlink"/>
          </w:rPr>
          <w:t>https://www.cprindia.org/news/8604</w:t>
        </w:r>
      </w:hyperlink>
      <w:r>
        <w:t>.</w:t>
      </w:r>
    </w:p>
    <w:p w14:paraId="658BA5AD" w14:textId="77777777" w:rsidR="001E7B45" w:rsidRDefault="000109F5" w:rsidP="00311AB2">
      <w:pPr>
        <w:pStyle w:val="Bibliography"/>
        <w:spacing w:line="360" w:lineRule="auto"/>
      </w:pPr>
      <w:bookmarkStart w:id="63" w:name="ref-Nagaraj2020"/>
      <w:bookmarkEnd w:id="62"/>
      <w:r>
        <w:t xml:space="preserve">Nagaraj, Anuradha, and Roli Srivastava. 2020. “No Work, New Debt: Virus Creates Perfect Storm for Slavery in India.” </w:t>
      </w:r>
      <w:r>
        <w:rPr>
          <w:i/>
          <w:iCs/>
        </w:rPr>
        <w:t>The Jakarta Post</w:t>
      </w:r>
      <w:r>
        <w:t xml:space="preserve">, April. </w:t>
      </w:r>
      <w:hyperlink r:id="rId34">
        <w:r>
          <w:rPr>
            <w:rStyle w:val="Hyperlink"/>
          </w:rPr>
          <w:t>https://www.thejakartapost.com/news/2020/04/13/no-work-new-debt-virus-creates-perfect-storm-for-slavery-in-india.html</w:t>
        </w:r>
      </w:hyperlink>
      <w:r>
        <w:t>.</w:t>
      </w:r>
    </w:p>
    <w:p w14:paraId="395FDA74" w14:textId="77777777" w:rsidR="001E7B45" w:rsidRDefault="000109F5" w:rsidP="00311AB2">
      <w:pPr>
        <w:pStyle w:val="Bibliography"/>
        <w:spacing w:line="360" w:lineRule="auto"/>
      </w:pPr>
      <w:bookmarkStart w:id="64" w:name="ref-Nair2016"/>
      <w:bookmarkEnd w:id="63"/>
      <w:r>
        <w:t xml:space="preserve">Nair, Tara. 2016. “In Pursuit of an Inclusive Finance-Scape in India: Changing Course, Shifting Goals.” In </w:t>
      </w:r>
      <w:r>
        <w:rPr>
          <w:i/>
          <w:iCs/>
        </w:rPr>
        <w:t>Social Development Report 2016</w:t>
      </w:r>
      <w:r>
        <w:t>, edited by Kalpana Kannabiran and Asha Hans, 279–94. New-Delhi: Oxford University Press.</w:t>
      </w:r>
    </w:p>
    <w:p w14:paraId="2D4C709B" w14:textId="77777777" w:rsidR="001E7B45" w:rsidRDefault="000109F5" w:rsidP="00311AB2">
      <w:pPr>
        <w:pStyle w:val="Bibliography"/>
        <w:spacing w:line="360" w:lineRule="auto"/>
      </w:pPr>
      <w:bookmarkStart w:id="65" w:name="ref-Nguyen2017"/>
      <w:bookmarkEnd w:id="64"/>
      <w:r>
        <w:t xml:space="preserve">Nguyen, Chi Huu, and Christophe J. Nordman. 2017. “Household Entrepreneurship and Social Networks: Panel Data Evidence from Vietnam.” </w:t>
      </w:r>
      <w:r>
        <w:rPr>
          <w:i/>
          <w:iCs/>
        </w:rPr>
        <w:t>The Journal of Development Studies</w:t>
      </w:r>
      <w:r>
        <w:t xml:space="preserve"> 54 (4): 594–618. </w:t>
      </w:r>
      <w:hyperlink r:id="rId35">
        <w:r>
          <w:rPr>
            <w:rStyle w:val="Hyperlink"/>
          </w:rPr>
          <w:t>https://doi.org/10.1080/00220388.2017.1303668</w:t>
        </w:r>
      </w:hyperlink>
      <w:r>
        <w:t>.</w:t>
      </w:r>
    </w:p>
    <w:p w14:paraId="6888A354" w14:textId="77777777" w:rsidR="001E7B45" w:rsidRDefault="000109F5" w:rsidP="00311AB2">
      <w:pPr>
        <w:pStyle w:val="Bibliography"/>
        <w:spacing w:line="360" w:lineRule="auto"/>
      </w:pPr>
      <w:bookmarkStart w:id="66" w:name="ref-Nordman2019"/>
      <w:bookmarkEnd w:id="65"/>
      <w:r>
        <w:lastRenderedPageBreak/>
        <w:t xml:space="preserve">Nordman, Christophe Jalil, Isabelle Guérin, Arnaud Natal, Sébastien Michiels, and Govindan Venkatasubramanian. 2019. “NEEMSIS Survey Report: A Full Statistical Picture of the Household and Individual Data.” </w:t>
      </w:r>
      <w:proofErr w:type="spellStart"/>
      <w:proofErr w:type="gramStart"/>
      <w:r w:rsidRPr="00D65085">
        <w:rPr>
          <w:lang w:val="fr-FR"/>
        </w:rPr>
        <w:t>Pondicherry</w:t>
      </w:r>
      <w:proofErr w:type="spellEnd"/>
      <w:r w:rsidRPr="00D65085">
        <w:rPr>
          <w:lang w:val="fr-FR"/>
        </w:rPr>
        <w:t>;</w:t>
      </w:r>
      <w:proofErr w:type="gramEnd"/>
      <w:r w:rsidRPr="00D65085">
        <w:rPr>
          <w:lang w:val="fr-FR"/>
        </w:rPr>
        <w:t xml:space="preserve"> Paris: IFP (French Institute of </w:t>
      </w:r>
      <w:proofErr w:type="spellStart"/>
      <w:r w:rsidRPr="00D65085">
        <w:rPr>
          <w:lang w:val="fr-FR"/>
        </w:rPr>
        <w:t>Pondicherry</w:t>
      </w:r>
      <w:proofErr w:type="spellEnd"/>
      <w:r w:rsidRPr="00D65085">
        <w:rPr>
          <w:lang w:val="fr-FR"/>
        </w:rPr>
        <w:t xml:space="preserve">); IRD (Institut de Recherche pour le Développement). </w:t>
      </w:r>
      <w:hyperlink r:id="rId36">
        <w:r>
          <w:rPr>
            <w:rStyle w:val="Hyperlink"/>
          </w:rPr>
          <w:t>https://f.hypotheses.org/wp-content/blogs.dir/3627/files/2020/04/NEEMSIS-Survey-Report-2019_Statistical-Tables.pdf</w:t>
        </w:r>
      </w:hyperlink>
      <w:r>
        <w:t>.</w:t>
      </w:r>
    </w:p>
    <w:p w14:paraId="5CEEB01F" w14:textId="77777777" w:rsidR="001E7B45" w:rsidRDefault="000109F5" w:rsidP="00311AB2">
      <w:pPr>
        <w:pStyle w:val="Bibliography"/>
        <w:spacing w:line="360" w:lineRule="auto"/>
      </w:pPr>
      <w:bookmarkStart w:id="67" w:name="ref-Nordman2017"/>
      <w:bookmarkEnd w:id="66"/>
      <w:r>
        <w:t xml:space="preserve">Nordman, Christophe Jalil, Isabelle Guérin, Govindan Venkatasubramanian, Sébastien Michiels, Youna Lanos, Santosh Kumar, Antony Raj, and Anne Hilger. 2017. “NEEMSIS Survey Manual.” Pondicherry; Paris: IFP (French Institute of Pondicherry); IRD (Institut de Recherche pour le Dévelopement). </w:t>
      </w:r>
      <w:hyperlink r:id="rId37">
        <w:r>
          <w:rPr>
            <w:rStyle w:val="Hyperlink"/>
          </w:rPr>
          <w:t>https://f.hypotheses.org/wp-content/blogs.dir/3627/files/2018/05/NEEMSIS_manual_final.pdf</w:t>
        </w:r>
      </w:hyperlink>
      <w:r>
        <w:t>.</w:t>
      </w:r>
    </w:p>
    <w:p w14:paraId="4BE77099" w14:textId="77777777" w:rsidR="001E7B45" w:rsidRDefault="000109F5" w:rsidP="00311AB2">
      <w:pPr>
        <w:pStyle w:val="Bibliography"/>
        <w:spacing w:line="360" w:lineRule="auto"/>
      </w:pPr>
      <w:bookmarkStart w:id="68" w:name="ref-Pandian2000"/>
      <w:bookmarkEnd w:id="67"/>
      <w:r>
        <w:t xml:space="preserve">Pandian, M. S. 2000. “Dalit Assertion in Tamil Nadu: An Exploratory Note.” </w:t>
      </w:r>
      <w:r>
        <w:rPr>
          <w:i/>
          <w:iCs/>
        </w:rPr>
        <w:t>Economic &amp; Political Weekly</w:t>
      </w:r>
      <w:r>
        <w:t xml:space="preserve"> 12 (3): 501–17.</w:t>
      </w:r>
    </w:p>
    <w:p w14:paraId="08D78789" w14:textId="77777777" w:rsidR="001E7B45" w:rsidRDefault="000109F5" w:rsidP="00311AB2">
      <w:pPr>
        <w:pStyle w:val="Bibliography"/>
        <w:spacing w:line="360" w:lineRule="auto"/>
      </w:pPr>
      <w:bookmarkStart w:id="69" w:name="ref-Peebles2010"/>
      <w:bookmarkEnd w:id="68"/>
      <w:r>
        <w:t xml:space="preserve">Peebles, Gustav. 2010. “The Anthropology of Credit and Debt.” </w:t>
      </w:r>
      <w:r>
        <w:rPr>
          <w:i/>
          <w:iCs/>
        </w:rPr>
        <w:t>Annual Review of Anthropology</w:t>
      </w:r>
      <w:r>
        <w:t xml:space="preserve"> 39 (1): 225–40. </w:t>
      </w:r>
      <w:hyperlink r:id="rId38">
        <w:r>
          <w:rPr>
            <w:rStyle w:val="Hyperlink"/>
          </w:rPr>
          <w:t>https://doi.org/10.1146/annurev-anthro-090109-133856</w:t>
        </w:r>
      </w:hyperlink>
      <w:r>
        <w:t>.</w:t>
      </w:r>
    </w:p>
    <w:p w14:paraId="4F77401A" w14:textId="77777777" w:rsidR="001E7B45" w:rsidRDefault="000109F5" w:rsidP="00311AB2">
      <w:pPr>
        <w:pStyle w:val="Bibliography"/>
        <w:spacing w:line="360" w:lineRule="auto"/>
      </w:pPr>
      <w:bookmarkStart w:id="70" w:name="ref-Peebles2014"/>
      <w:bookmarkEnd w:id="69"/>
      <w:r>
        <w:t xml:space="preserve">———. 2014. “Rehabilitating the Hoard: The Social Dynamics of Unbanking in Africa and Beyond.” </w:t>
      </w:r>
      <w:r>
        <w:rPr>
          <w:i/>
          <w:iCs/>
        </w:rPr>
        <w:t>Africa</w:t>
      </w:r>
      <w:r>
        <w:t xml:space="preserve"> 84 (4): 595–613. </w:t>
      </w:r>
      <w:hyperlink r:id="rId39">
        <w:r>
          <w:rPr>
            <w:rStyle w:val="Hyperlink"/>
          </w:rPr>
          <w:t>https://doi.org/10.1017/s0001972014000485</w:t>
        </w:r>
      </w:hyperlink>
      <w:r>
        <w:t>.</w:t>
      </w:r>
    </w:p>
    <w:p w14:paraId="2CE2FB2A" w14:textId="77777777" w:rsidR="001E7B45" w:rsidRPr="00D65085" w:rsidRDefault="000109F5" w:rsidP="00311AB2">
      <w:pPr>
        <w:pStyle w:val="Bibliography"/>
        <w:spacing w:line="360" w:lineRule="auto"/>
        <w:rPr>
          <w:lang w:val="fr-FR"/>
        </w:rPr>
      </w:pPr>
      <w:bookmarkStart w:id="71" w:name="ref-Peebles2020"/>
      <w:bookmarkEnd w:id="70"/>
      <w:r>
        <w:t xml:space="preserve">———. 2020. “Hoarding and Saving.” </w:t>
      </w:r>
      <w:r>
        <w:rPr>
          <w:i/>
          <w:iCs/>
        </w:rPr>
        <w:t>Oxford Research Encyclopedia of Anthropology</w:t>
      </w:r>
      <w:r>
        <w:t xml:space="preserve">, April. </w:t>
      </w:r>
      <w:hyperlink r:id="rId40">
        <w:r w:rsidRPr="00D65085">
          <w:rPr>
            <w:rStyle w:val="Hyperlink"/>
            <w:lang w:val="fr-FR"/>
          </w:rPr>
          <w:t>https://doi.org/10.1093/acrefore/9780190854584.013.80</w:t>
        </w:r>
      </w:hyperlink>
      <w:r w:rsidRPr="00D65085">
        <w:rPr>
          <w:lang w:val="fr-FR"/>
        </w:rPr>
        <w:t>.</w:t>
      </w:r>
    </w:p>
    <w:p w14:paraId="1ACA4C4F" w14:textId="77777777" w:rsidR="001E7B45" w:rsidRDefault="000109F5" w:rsidP="00311AB2">
      <w:pPr>
        <w:pStyle w:val="Bibliography"/>
        <w:spacing w:line="360" w:lineRule="auto"/>
      </w:pPr>
      <w:bookmarkStart w:id="72" w:name="ref-Picherit2020"/>
      <w:bookmarkEnd w:id="71"/>
      <w:proofErr w:type="spellStart"/>
      <w:r w:rsidRPr="00D65085">
        <w:rPr>
          <w:lang w:val="fr-FR"/>
        </w:rPr>
        <w:t>Picherit</w:t>
      </w:r>
      <w:proofErr w:type="spellEnd"/>
      <w:r w:rsidRPr="00D65085">
        <w:rPr>
          <w:lang w:val="fr-FR"/>
        </w:rPr>
        <w:t xml:space="preserve">, David. 2020. “En Inde, les travailleurs migrants abandonnées à leur sort.” </w:t>
      </w:r>
      <w:r>
        <w:t xml:space="preserve">The Conversation. </w:t>
      </w:r>
      <w:hyperlink r:id="rId41">
        <w:r>
          <w:rPr>
            <w:rStyle w:val="Hyperlink"/>
          </w:rPr>
          <w:t>https://theconversation.com/en-inde-les-travailleurs-migrants-abandonnes-a-leur-sort-135851</w:t>
        </w:r>
      </w:hyperlink>
      <w:r>
        <w:t>.</w:t>
      </w:r>
    </w:p>
    <w:p w14:paraId="5DDE2234" w14:textId="77777777" w:rsidR="001E7B45" w:rsidRDefault="000109F5" w:rsidP="00311AB2">
      <w:pPr>
        <w:pStyle w:val="Bibliography"/>
        <w:spacing w:line="360" w:lineRule="auto"/>
      </w:pPr>
      <w:bookmarkStart w:id="73" w:name="ref-Platteau1994"/>
      <w:bookmarkEnd w:id="72"/>
      <w:r>
        <w:t xml:space="preserve">Platteau, Jean-Phiilippe. 1994. “Behind the Market Stage Where Real Societies Exist - Part i: The Role of Public and Private Order Institutions.” </w:t>
      </w:r>
      <w:r>
        <w:rPr>
          <w:i/>
          <w:iCs/>
        </w:rPr>
        <w:t>Journal of Development Studies</w:t>
      </w:r>
      <w:r>
        <w:t xml:space="preserve"> 30 (3): 533–77. </w:t>
      </w:r>
      <w:hyperlink r:id="rId42">
        <w:r>
          <w:rPr>
            <w:rStyle w:val="Hyperlink"/>
          </w:rPr>
          <w:t>https://doi.org/10.1080/00220389408422328</w:t>
        </w:r>
      </w:hyperlink>
      <w:r>
        <w:t>.</w:t>
      </w:r>
    </w:p>
    <w:p w14:paraId="2DD304E0" w14:textId="77777777" w:rsidR="001E7B45" w:rsidRPr="00311AB2" w:rsidRDefault="000109F5" w:rsidP="00311AB2">
      <w:pPr>
        <w:pStyle w:val="Bibliography"/>
        <w:spacing w:line="360" w:lineRule="auto"/>
        <w:rPr>
          <w:lang w:val="en-GB"/>
        </w:rPr>
      </w:pPr>
      <w:bookmarkStart w:id="74" w:name="ref-Platteau2015"/>
      <w:bookmarkEnd w:id="73"/>
      <w:r>
        <w:t xml:space="preserve">Platteau, Jean-Philippe. 2015. </w:t>
      </w:r>
      <w:r>
        <w:rPr>
          <w:i/>
          <w:iCs/>
        </w:rPr>
        <w:t>Institutions, Social Norms and Economic Development</w:t>
      </w:r>
      <w:r>
        <w:t xml:space="preserve">. </w:t>
      </w:r>
      <w:r w:rsidRPr="00311AB2">
        <w:rPr>
          <w:lang w:val="en-GB"/>
        </w:rPr>
        <w:t>London: Routledge.</w:t>
      </w:r>
    </w:p>
    <w:p w14:paraId="136ED301" w14:textId="77777777" w:rsidR="001E7B45" w:rsidRDefault="000109F5" w:rsidP="00311AB2">
      <w:pPr>
        <w:pStyle w:val="Bibliography"/>
        <w:spacing w:line="360" w:lineRule="auto"/>
      </w:pPr>
      <w:bookmarkStart w:id="75" w:name="ref-Pouchepadass1980"/>
      <w:bookmarkEnd w:id="74"/>
      <w:proofErr w:type="spellStart"/>
      <w:r w:rsidRPr="00D65085">
        <w:rPr>
          <w:lang w:val="fr-FR"/>
        </w:rPr>
        <w:lastRenderedPageBreak/>
        <w:t>Pouchepadass</w:t>
      </w:r>
      <w:proofErr w:type="spellEnd"/>
      <w:r w:rsidRPr="00D65085">
        <w:rPr>
          <w:lang w:val="fr-FR"/>
        </w:rPr>
        <w:t xml:space="preserve">, Jacques. 1980. “L’endettement Paysan dans le Bihar colonial.” </w:t>
      </w:r>
      <w:r>
        <w:t xml:space="preserve">In </w:t>
      </w:r>
      <w:r>
        <w:rPr>
          <w:i/>
          <w:iCs/>
        </w:rPr>
        <w:t>La Dette</w:t>
      </w:r>
      <w:r>
        <w:t>, edited by C. Malamoud, 165–205. Paris: EHESS.</w:t>
      </w:r>
    </w:p>
    <w:p w14:paraId="1DA187BC" w14:textId="77777777" w:rsidR="001E7B45" w:rsidRDefault="000109F5" w:rsidP="00311AB2">
      <w:pPr>
        <w:pStyle w:val="Bibliography"/>
        <w:spacing w:line="360" w:lineRule="auto"/>
      </w:pPr>
      <w:bookmarkStart w:id="76" w:name="ref-Rangasami1986"/>
      <w:bookmarkEnd w:id="75"/>
      <w:r>
        <w:t xml:space="preserve">Rangasami, Amrita. 1986. “Famine: The Anthropological Account: An Evaluation of the Work of Raymond Firth.” </w:t>
      </w:r>
      <w:r>
        <w:rPr>
          <w:i/>
          <w:iCs/>
        </w:rPr>
        <w:t>Economic &amp; Political Weekly</w:t>
      </w:r>
      <w:r>
        <w:t xml:space="preserve"> 21 (36): 1591–601.</w:t>
      </w:r>
    </w:p>
    <w:p w14:paraId="58E0FDE1" w14:textId="77777777" w:rsidR="001E7B45" w:rsidRDefault="000109F5" w:rsidP="00311AB2">
      <w:pPr>
        <w:pStyle w:val="Bibliography"/>
        <w:spacing w:line="360" w:lineRule="auto"/>
      </w:pPr>
      <w:bookmarkStart w:id="77" w:name="ref-Ravallion2020"/>
      <w:bookmarkEnd w:id="76"/>
      <w:r>
        <w:t xml:space="preserve">Ravallion, Martin. 2020. “Could Pandemic Lead to Famine?” Press article. Project Syndicate. </w:t>
      </w:r>
      <w:hyperlink r:id="rId43">
        <w:r>
          <w:rPr>
            <w:rStyle w:val="Hyperlink"/>
          </w:rPr>
          <w:t>https://www.project-syndicate.org/commentary/covid19-lockdowns-threaten-famine-in-poor-countries-by-martin-ravallion-2020-04</w:t>
        </w:r>
      </w:hyperlink>
      <w:r>
        <w:t>.</w:t>
      </w:r>
    </w:p>
    <w:p w14:paraId="4A787EA0" w14:textId="77777777" w:rsidR="001E7B45" w:rsidRDefault="000109F5" w:rsidP="00311AB2">
      <w:pPr>
        <w:pStyle w:val="Bibliography"/>
        <w:spacing w:line="360" w:lineRule="auto"/>
      </w:pPr>
      <w:bookmarkStart w:id="78" w:name="ref-Reboul2019"/>
      <w:bookmarkEnd w:id="77"/>
      <w:r>
        <w:t>Reboul, Elena, Isabelle Guérin, Antony Raj, and Govindan Venkatasubramanian. 2019. “Managing Economic Volatility. A Gender Perspective.” CEB Working Paper 19/015. CEB (Centre Emile Bernheim); ULB (Université Libre de Bruxelles).</w:t>
      </w:r>
    </w:p>
    <w:p w14:paraId="0B9E8A75" w14:textId="77777777" w:rsidR="001E7B45" w:rsidRDefault="000109F5" w:rsidP="00311AB2">
      <w:pPr>
        <w:pStyle w:val="Bibliography"/>
        <w:spacing w:line="360" w:lineRule="auto"/>
      </w:pPr>
      <w:bookmarkStart w:id="79" w:name="ref-Rhyne2020"/>
      <w:bookmarkEnd w:id="78"/>
      <w:r>
        <w:t xml:space="preserve">Rhyne, Elisabeth. 2020. “Banking on Human Capital: What Financial Insitutions Need to Do -Now- to Enable a COVID-19 Recovery.” Financial Access Initiative. </w:t>
      </w:r>
      <w:hyperlink r:id="rId44">
        <w:r>
          <w:rPr>
            <w:rStyle w:val="Hyperlink"/>
          </w:rPr>
          <w:t>https://www.financialaccess.org/blog/2020/5/11/banking-on-human-capital-what-financial-institutions-need-to-do-now-to-enable-a-covid-19-recovery</w:t>
        </w:r>
      </w:hyperlink>
      <w:r>
        <w:t>.</w:t>
      </w:r>
    </w:p>
    <w:p w14:paraId="5C32652C" w14:textId="77777777" w:rsidR="001E7B45" w:rsidRDefault="000109F5" w:rsidP="00311AB2">
      <w:pPr>
        <w:pStyle w:val="Bibliography"/>
        <w:spacing w:line="360" w:lineRule="auto"/>
      </w:pPr>
      <w:bookmarkStart w:id="80" w:name="ref-Rutherford2000"/>
      <w:bookmarkEnd w:id="79"/>
      <w:r>
        <w:t xml:space="preserve">Rutherford, Stuart. 2000. </w:t>
      </w:r>
      <w:r>
        <w:rPr>
          <w:i/>
          <w:iCs/>
        </w:rPr>
        <w:t>The Poor and Their Money</w:t>
      </w:r>
      <w:r>
        <w:t>. New-Delhi; New-York: Oxford University Press.</w:t>
      </w:r>
    </w:p>
    <w:p w14:paraId="14602B71" w14:textId="77777777" w:rsidR="001E7B45" w:rsidRDefault="000109F5" w:rsidP="00311AB2">
      <w:pPr>
        <w:pStyle w:val="Bibliography"/>
        <w:spacing w:line="360" w:lineRule="auto"/>
      </w:pPr>
      <w:bookmarkStart w:id="81" w:name="ref-Saiag2020"/>
      <w:bookmarkEnd w:id="80"/>
      <w:r>
        <w:t xml:space="preserve">Saiag, Hadrien. 2020. “Financialization from the Margins.” </w:t>
      </w:r>
      <w:r>
        <w:rPr>
          <w:i/>
          <w:iCs/>
        </w:rPr>
        <w:t>Focaal</w:t>
      </w:r>
      <w:r>
        <w:t xml:space="preserve"> 2020 (87): 16–32. </w:t>
      </w:r>
      <w:hyperlink r:id="rId45">
        <w:r>
          <w:rPr>
            <w:rStyle w:val="Hyperlink"/>
          </w:rPr>
          <w:t>https://doi.org/10.3167/fcl.2020.012804</w:t>
        </w:r>
      </w:hyperlink>
      <w:r>
        <w:t>.</w:t>
      </w:r>
    </w:p>
    <w:p w14:paraId="486F5B74" w14:textId="77777777" w:rsidR="001E7B45" w:rsidRDefault="000109F5" w:rsidP="00311AB2">
      <w:pPr>
        <w:pStyle w:val="Bibliography"/>
        <w:spacing w:line="360" w:lineRule="auto"/>
      </w:pPr>
      <w:bookmarkStart w:id="82" w:name="ref-Servet2013"/>
      <w:bookmarkEnd w:id="81"/>
      <w:r>
        <w:t xml:space="preserve">Servet, Jean-Michel, and Hadrien Saiag. 2013. “Household Over-indebtedness in Northern and Southern Countries.” In </w:t>
      </w:r>
      <w:r>
        <w:rPr>
          <w:i/>
          <w:iCs/>
        </w:rPr>
        <w:t>Microfinance, Debt and Over-indebtedness</w:t>
      </w:r>
      <w:r>
        <w:t>, edited by Isabelle Guérin, Solène Morvant-Roux, and Magdalena Villareal, 44–65. Routledge.</w:t>
      </w:r>
    </w:p>
    <w:p w14:paraId="73143CF7" w14:textId="77777777" w:rsidR="001E7B45" w:rsidRDefault="000109F5" w:rsidP="00311AB2">
      <w:pPr>
        <w:pStyle w:val="Bibliography"/>
        <w:spacing w:line="360" w:lineRule="auto"/>
      </w:pPr>
      <w:bookmarkStart w:id="83" w:name="ref-Shipton2007"/>
      <w:bookmarkEnd w:id="82"/>
      <w:r>
        <w:t xml:space="preserve">Shipton, Parker MacDonald. 2007. </w:t>
      </w:r>
      <w:r>
        <w:rPr>
          <w:i/>
          <w:iCs/>
        </w:rPr>
        <w:t>The Nature of Entrustment: Intimacy, Exchange, and the Sacred in Africa</w:t>
      </w:r>
      <w:r>
        <w:t>. Yale: Yale University Press.</w:t>
      </w:r>
    </w:p>
    <w:p w14:paraId="6A73C90A" w14:textId="77777777" w:rsidR="001E7B45" w:rsidRDefault="000109F5" w:rsidP="00311AB2">
      <w:pPr>
        <w:pStyle w:val="Bibliography"/>
        <w:spacing w:line="360" w:lineRule="auto"/>
      </w:pPr>
      <w:bookmarkStart w:id="84" w:name="ref-Srinivasan2005"/>
      <w:bookmarkEnd w:id="83"/>
      <w:r>
        <w:t xml:space="preserve">Srinivasan, Sharada. 2005. “Daughters or Dowries? The Changing Nature of Dowry Practices in South India.” </w:t>
      </w:r>
      <w:r>
        <w:rPr>
          <w:i/>
          <w:iCs/>
        </w:rPr>
        <w:t>World Development</w:t>
      </w:r>
      <w:r>
        <w:t xml:space="preserve"> 33 (4): 593–615. </w:t>
      </w:r>
      <w:hyperlink r:id="rId46">
        <w:r>
          <w:rPr>
            <w:rStyle w:val="Hyperlink"/>
          </w:rPr>
          <w:t>https://doi.org/10.1016/j.worlddev.2004.12.003</w:t>
        </w:r>
      </w:hyperlink>
      <w:r>
        <w:t>.</w:t>
      </w:r>
    </w:p>
    <w:p w14:paraId="76F46177" w14:textId="77777777" w:rsidR="001E7B45" w:rsidRDefault="000109F5" w:rsidP="00311AB2">
      <w:pPr>
        <w:pStyle w:val="Bibliography"/>
        <w:spacing w:line="360" w:lineRule="auto"/>
      </w:pPr>
      <w:bookmarkStart w:id="85" w:name="ref-Srivastava2020"/>
      <w:bookmarkEnd w:id="84"/>
      <w:r>
        <w:lastRenderedPageBreak/>
        <w:t xml:space="preserve">Srivastava, Ravi. 2020. “Migrant Labour in the Shadow of the Pandemic.” IHD-ISLE Webinar Series: Covid-19 and Its Implications for Economy, Work and Livelihoods. </w:t>
      </w:r>
      <w:hyperlink r:id="rId47">
        <w:r>
          <w:rPr>
            <w:rStyle w:val="Hyperlink"/>
          </w:rPr>
          <w:t>http://www.ihdindia.org/mailer/webinar/IHDISLE-Webinar-Covid-19-its-Implications-Economy-Work-Livelihoods.html</w:t>
        </w:r>
      </w:hyperlink>
      <w:r>
        <w:t>.</w:t>
      </w:r>
    </w:p>
    <w:p w14:paraId="184C1475" w14:textId="77777777" w:rsidR="001E7B45" w:rsidRDefault="000109F5" w:rsidP="00311AB2">
      <w:pPr>
        <w:pStyle w:val="Bibliography"/>
        <w:spacing w:line="360" w:lineRule="auto"/>
      </w:pPr>
      <w:bookmarkStart w:id="86" w:name="ref-Subramanian2019"/>
      <w:bookmarkEnd w:id="85"/>
      <w:r>
        <w:t>Subramanian, Arvind. 2019. “India’s GDP Mis-Estimation: Likelihood, Magnitudes, Mechanisms, and Implications.” Working Paper 354. Center for International Development, Harvard University CID Faculty.</w:t>
      </w:r>
    </w:p>
    <w:p w14:paraId="39B99AA8" w14:textId="77777777" w:rsidR="001E7B45" w:rsidRDefault="000109F5" w:rsidP="00311AB2">
      <w:pPr>
        <w:pStyle w:val="Bibliography"/>
        <w:spacing w:line="360" w:lineRule="auto"/>
      </w:pPr>
      <w:bookmarkStart w:id="87" w:name="ref-Thapar2020"/>
      <w:bookmarkEnd w:id="86"/>
      <w:r>
        <w:t xml:space="preserve">Thapar, Karan. 2020. “Coronavirus Lockdown Has Already Done More Damage to Economy than Demonetisation.” </w:t>
      </w:r>
      <w:hyperlink r:id="rId48">
        <w:r>
          <w:rPr>
            <w:rStyle w:val="Hyperlink"/>
          </w:rPr>
          <w:t>https://www.youtube.com/watch?v=CvlU-Yqf-EM&amp;ab_channel=TheWire</w:t>
        </w:r>
      </w:hyperlink>
      <w:r>
        <w:t>.</w:t>
      </w:r>
    </w:p>
    <w:p w14:paraId="206EE3D1" w14:textId="77777777" w:rsidR="001E7B45" w:rsidRDefault="000109F5" w:rsidP="00311AB2">
      <w:pPr>
        <w:pStyle w:val="Bibliography"/>
        <w:spacing w:line="360" w:lineRule="auto"/>
      </w:pPr>
      <w:bookmarkStart w:id="88" w:name="ref-UN2020"/>
      <w:bookmarkEnd w:id="87"/>
      <w:r>
        <w:t>UN. 2020. “Private Debt and Human Rights.” Technical report. Report of the Independent Expert on the effects of foreign debt and other related international financial obligations of States on the full enjoyment of human rights, particularly economic, social and cultural rights. Geneva: United Nations; UN.</w:t>
      </w:r>
    </w:p>
    <w:p w14:paraId="59269906" w14:textId="77777777" w:rsidR="001E7B45" w:rsidRDefault="000109F5" w:rsidP="00311AB2">
      <w:pPr>
        <w:pStyle w:val="Bibliography"/>
        <w:spacing w:line="360" w:lineRule="auto"/>
      </w:pPr>
      <w:bookmarkStart w:id="89" w:name="ref-UNCTAD2019"/>
      <w:bookmarkEnd w:id="88"/>
      <w:r>
        <w:t>UNCTAD. 2019. “Trade and Development Report 2019. Financing A Global Green New Deal.” Data. Geneva: United Nations.</w:t>
      </w:r>
    </w:p>
    <w:p w14:paraId="38C95BB0" w14:textId="5694F552" w:rsidR="00311AB2" w:rsidRDefault="000109F5" w:rsidP="00311AB2">
      <w:pPr>
        <w:pStyle w:val="Bibliography"/>
        <w:spacing w:line="360" w:lineRule="auto"/>
      </w:pPr>
      <w:bookmarkStart w:id="90" w:name="ref-WorldBank2020"/>
      <w:bookmarkEnd w:id="89"/>
      <w:r>
        <w:t>World Bank. 2020. “Global Waves of Debt. Causes and Consequences.” Technical report. International Bank for Reconstruction and Development. Washington DC: The World Bank; The World Bank.</w:t>
      </w:r>
      <w:bookmarkEnd w:id="16"/>
      <w:bookmarkEnd w:id="18"/>
      <w:bookmarkEnd w:id="90"/>
    </w:p>
    <w:p w14:paraId="2B943005" w14:textId="77777777" w:rsidR="00311AB2" w:rsidRDefault="00311AB2">
      <w:r>
        <w:br w:type="page"/>
      </w:r>
    </w:p>
    <w:p w14:paraId="5AD91F5C" w14:textId="24479592" w:rsidR="001E7B45" w:rsidRDefault="00311AB2" w:rsidP="00311AB2">
      <w:pPr>
        <w:pStyle w:val="Heading1"/>
      </w:pPr>
      <w:r>
        <w:lastRenderedPageBreak/>
        <w:t>Appendix</w:t>
      </w:r>
    </w:p>
    <w:p w14:paraId="07ACADA9" w14:textId="3B0CBB05" w:rsidR="00095768" w:rsidRDefault="00095768" w:rsidP="00095768">
      <w:pPr>
        <w:pStyle w:val="Caption"/>
        <w:keepNext/>
      </w:pPr>
      <w:r>
        <w:t xml:space="preserve">Table </w:t>
      </w:r>
      <w:fldSimple w:instr=" SEQ Table \* ARABIC ">
        <w:r>
          <w:rPr>
            <w:noProof/>
          </w:rPr>
          <w:t>2</w:t>
        </w:r>
      </w:fldSimple>
      <w:r>
        <w:t xml:space="preserve"> Purpose of loans -- Source: RUME (2010) and NEEMSIS-1 (2016-17); author's calculations.</w:t>
      </w:r>
    </w:p>
    <w:tbl>
      <w:tblPr>
        <w:tblW w:w="0" w:type="auto"/>
        <w:tblInd w:w="70" w:type="dxa"/>
        <w:tblCellMar>
          <w:left w:w="70" w:type="dxa"/>
          <w:right w:w="70" w:type="dxa"/>
        </w:tblCellMar>
        <w:tblLook w:val="04A0" w:firstRow="1" w:lastRow="0" w:firstColumn="1" w:lastColumn="0" w:noHBand="0" w:noVBand="1"/>
      </w:tblPr>
      <w:tblGrid>
        <w:gridCol w:w="1716"/>
        <w:gridCol w:w="681"/>
        <w:gridCol w:w="681"/>
        <w:gridCol w:w="181"/>
        <w:gridCol w:w="642"/>
        <w:gridCol w:w="642"/>
        <w:gridCol w:w="181"/>
        <w:gridCol w:w="679"/>
        <w:gridCol w:w="679"/>
        <w:gridCol w:w="181"/>
        <w:gridCol w:w="658"/>
        <w:gridCol w:w="766"/>
        <w:gridCol w:w="181"/>
        <w:gridCol w:w="784"/>
        <w:gridCol w:w="784"/>
      </w:tblGrid>
      <w:tr w:rsidR="00095768" w:rsidRPr="00095768" w14:paraId="28D8D728" w14:textId="77777777" w:rsidTr="00095768">
        <w:trPr>
          <w:trHeight w:val="288"/>
        </w:trPr>
        <w:tc>
          <w:tcPr>
            <w:tcW w:w="0" w:type="auto"/>
            <w:tcBorders>
              <w:top w:val="single" w:sz="4" w:space="0" w:color="auto"/>
              <w:left w:val="nil"/>
              <w:bottom w:val="nil"/>
              <w:right w:val="nil"/>
            </w:tcBorders>
            <w:shd w:val="clear" w:color="auto" w:fill="auto"/>
            <w:noWrap/>
            <w:vAlign w:val="bottom"/>
            <w:hideMark/>
          </w:tcPr>
          <w:p w14:paraId="05853D0F" w14:textId="77777777" w:rsidR="00095768" w:rsidRPr="00095768" w:rsidRDefault="00095768" w:rsidP="00095768">
            <w:pPr>
              <w:spacing w:after="0"/>
              <w:rPr>
                <w:rFonts w:ascii="Calibri" w:eastAsia="Times New Roman" w:hAnsi="Calibri" w:cs="Calibri"/>
                <w:color w:val="000000"/>
                <w:sz w:val="18"/>
                <w:szCs w:val="18"/>
                <w:lang w:val="en-GB" w:eastAsia="fr-FR"/>
              </w:rPr>
            </w:pPr>
            <w:r w:rsidRPr="00095768">
              <w:rPr>
                <w:rFonts w:ascii="Calibri" w:eastAsia="Times New Roman" w:hAnsi="Calibri" w:cs="Calibri"/>
                <w:color w:val="000000"/>
                <w:sz w:val="18"/>
                <w:szCs w:val="18"/>
                <w:lang w:val="en-GB" w:eastAsia="fr-FR"/>
              </w:rPr>
              <w:t> </w:t>
            </w:r>
          </w:p>
        </w:tc>
        <w:tc>
          <w:tcPr>
            <w:tcW w:w="0" w:type="auto"/>
            <w:gridSpan w:val="2"/>
            <w:tcBorders>
              <w:top w:val="single" w:sz="4" w:space="0" w:color="auto"/>
              <w:left w:val="nil"/>
              <w:bottom w:val="single" w:sz="4" w:space="0" w:color="auto"/>
              <w:right w:val="nil"/>
            </w:tcBorders>
            <w:shd w:val="clear" w:color="auto" w:fill="auto"/>
            <w:noWrap/>
            <w:vAlign w:val="bottom"/>
            <w:hideMark/>
          </w:tcPr>
          <w:p w14:paraId="63842A6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roofErr w:type="spellStart"/>
            <w:r w:rsidRPr="00095768">
              <w:rPr>
                <w:rFonts w:ascii="Calibri" w:eastAsia="Times New Roman" w:hAnsi="Calibri" w:cs="Calibri"/>
                <w:color w:val="000000"/>
                <w:sz w:val="18"/>
                <w:szCs w:val="18"/>
                <w:lang w:val="fr-FR" w:eastAsia="fr-FR"/>
              </w:rPr>
              <w:t>Number</w:t>
            </w:r>
            <w:proofErr w:type="spellEnd"/>
            <w:r w:rsidRPr="00095768">
              <w:rPr>
                <w:rFonts w:ascii="Calibri" w:eastAsia="Times New Roman" w:hAnsi="Calibri" w:cs="Calibri"/>
                <w:color w:val="000000"/>
                <w:sz w:val="18"/>
                <w:szCs w:val="18"/>
                <w:lang w:val="fr-FR" w:eastAsia="fr-FR"/>
              </w:rPr>
              <w:t xml:space="preserve"> of </w:t>
            </w:r>
            <w:proofErr w:type="spellStart"/>
            <w:r w:rsidRPr="00095768">
              <w:rPr>
                <w:rFonts w:ascii="Calibri" w:eastAsia="Times New Roman" w:hAnsi="Calibri" w:cs="Calibri"/>
                <w:color w:val="000000"/>
                <w:sz w:val="18"/>
                <w:szCs w:val="18"/>
                <w:lang w:val="fr-FR" w:eastAsia="fr-FR"/>
              </w:rPr>
              <w:t>loans</w:t>
            </w:r>
            <w:proofErr w:type="spellEnd"/>
          </w:p>
        </w:tc>
        <w:tc>
          <w:tcPr>
            <w:tcW w:w="0" w:type="auto"/>
            <w:tcBorders>
              <w:top w:val="single" w:sz="4" w:space="0" w:color="auto"/>
              <w:left w:val="nil"/>
              <w:bottom w:val="nil"/>
              <w:right w:val="nil"/>
            </w:tcBorders>
            <w:shd w:val="clear" w:color="auto" w:fill="auto"/>
            <w:noWrap/>
            <w:vAlign w:val="bottom"/>
            <w:hideMark/>
          </w:tcPr>
          <w:p w14:paraId="605AEBC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auto" w:fill="auto"/>
            <w:noWrap/>
            <w:vAlign w:val="bottom"/>
            <w:hideMark/>
          </w:tcPr>
          <w:p w14:paraId="1B1547D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xml:space="preserve">% of </w:t>
            </w:r>
            <w:proofErr w:type="spellStart"/>
            <w:r w:rsidRPr="00095768">
              <w:rPr>
                <w:rFonts w:ascii="Calibri" w:eastAsia="Times New Roman" w:hAnsi="Calibri" w:cs="Calibri"/>
                <w:color w:val="000000"/>
                <w:sz w:val="18"/>
                <w:szCs w:val="18"/>
                <w:lang w:val="fr-FR" w:eastAsia="fr-FR"/>
              </w:rPr>
              <w:t>loans</w:t>
            </w:r>
            <w:proofErr w:type="spellEnd"/>
          </w:p>
        </w:tc>
        <w:tc>
          <w:tcPr>
            <w:tcW w:w="0" w:type="auto"/>
            <w:tcBorders>
              <w:top w:val="single" w:sz="4" w:space="0" w:color="auto"/>
              <w:left w:val="nil"/>
              <w:bottom w:val="nil"/>
              <w:right w:val="nil"/>
            </w:tcBorders>
            <w:shd w:val="clear" w:color="auto" w:fill="auto"/>
            <w:noWrap/>
            <w:vAlign w:val="bottom"/>
            <w:hideMark/>
          </w:tcPr>
          <w:p w14:paraId="1A72665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auto" w:fill="auto"/>
            <w:noWrap/>
            <w:vAlign w:val="bottom"/>
            <w:hideMark/>
          </w:tcPr>
          <w:p w14:paraId="31CDD46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xml:space="preserve">% of HH </w:t>
            </w:r>
            <w:proofErr w:type="spellStart"/>
            <w:r w:rsidRPr="00095768">
              <w:rPr>
                <w:rFonts w:ascii="Calibri" w:eastAsia="Times New Roman" w:hAnsi="Calibri" w:cs="Calibri"/>
                <w:color w:val="000000"/>
                <w:sz w:val="18"/>
                <w:szCs w:val="18"/>
                <w:lang w:val="fr-FR" w:eastAsia="fr-FR"/>
              </w:rPr>
              <w:t>using</w:t>
            </w:r>
            <w:proofErr w:type="spellEnd"/>
            <w:r w:rsidRPr="00095768">
              <w:rPr>
                <w:rFonts w:ascii="Calibri" w:eastAsia="Times New Roman" w:hAnsi="Calibri" w:cs="Calibri"/>
                <w:color w:val="000000"/>
                <w:sz w:val="18"/>
                <w:szCs w:val="18"/>
                <w:lang w:val="fr-FR" w:eastAsia="fr-FR"/>
              </w:rPr>
              <w:t xml:space="preserve"> </w:t>
            </w:r>
            <w:proofErr w:type="spellStart"/>
            <w:r w:rsidRPr="00095768">
              <w:rPr>
                <w:rFonts w:ascii="Calibri" w:eastAsia="Times New Roman" w:hAnsi="Calibri" w:cs="Calibri"/>
                <w:color w:val="000000"/>
                <w:sz w:val="18"/>
                <w:szCs w:val="18"/>
                <w:lang w:val="fr-FR" w:eastAsia="fr-FR"/>
              </w:rPr>
              <w:t>it</w:t>
            </w:r>
            <w:proofErr w:type="spellEnd"/>
          </w:p>
        </w:tc>
        <w:tc>
          <w:tcPr>
            <w:tcW w:w="0" w:type="auto"/>
            <w:tcBorders>
              <w:top w:val="single" w:sz="4" w:space="0" w:color="auto"/>
              <w:left w:val="nil"/>
              <w:bottom w:val="nil"/>
              <w:right w:val="nil"/>
            </w:tcBorders>
            <w:shd w:val="clear" w:color="auto" w:fill="auto"/>
            <w:noWrap/>
            <w:vAlign w:val="bottom"/>
            <w:hideMark/>
          </w:tcPr>
          <w:p w14:paraId="405A4C5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auto" w:fill="auto"/>
            <w:noWrap/>
            <w:vAlign w:val="bottom"/>
            <w:hideMark/>
          </w:tcPr>
          <w:p w14:paraId="6330303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roofErr w:type="spellStart"/>
            <w:r w:rsidRPr="00095768">
              <w:rPr>
                <w:rFonts w:ascii="Calibri" w:eastAsia="Times New Roman" w:hAnsi="Calibri" w:cs="Calibri"/>
                <w:color w:val="000000"/>
                <w:sz w:val="18"/>
                <w:szCs w:val="18"/>
                <w:lang w:val="fr-FR" w:eastAsia="fr-FR"/>
              </w:rPr>
              <w:t>Mean</w:t>
            </w:r>
            <w:proofErr w:type="spellEnd"/>
            <w:r w:rsidRPr="00095768">
              <w:rPr>
                <w:rFonts w:ascii="Calibri" w:eastAsia="Times New Roman" w:hAnsi="Calibri" w:cs="Calibri"/>
                <w:color w:val="000000"/>
                <w:sz w:val="18"/>
                <w:szCs w:val="18"/>
                <w:lang w:val="fr-FR" w:eastAsia="fr-FR"/>
              </w:rPr>
              <w:t xml:space="preserve"> (1,000 INR)</w:t>
            </w:r>
          </w:p>
        </w:tc>
        <w:tc>
          <w:tcPr>
            <w:tcW w:w="0" w:type="auto"/>
            <w:tcBorders>
              <w:top w:val="single" w:sz="4" w:space="0" w:color="auto"/>
              <w:left w:val="nil"/>
              <w:bottom w:val="nil"/>
              <w:right w:val="nil"/>
            </w:tcBorders>
            <w:shd w:val="clear" w:color="auto" w:fill="auto"/>
            <w:noWrap/>
            <w:vAlign w:val="bottom"/>
            <w:hideMark/>
          </w:tcPr>
          <w:p w14:paraId="4AB5F90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gridSpan w:val="2"/>
            <w:tcBorders>
              <w:top w:val="single" w:sz="4" w:space="0" w:color="auto"/>
              <w:left w:val="nil"/>
              <w:bottom w:val="single" w:sz="4" w:space="0" w:color="auto"/>
              <w:right w:val="nil"/>
            </w:tcBorders>
            <w:shd w:val="clear" w:color="auto" w:fill="auto"/>
            <w:noWrap/>
            <w:vAlign w:val="bottom"/>
            <w:hideMark/>
          </w:tcPr>
          <w:p w14:paraId="421E8B7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xml:space="preserve">% in the total </w:t>
            </w:r>
            <w:proofErr w:type="spellStart"/>
            <w:r w:rsidRPr="00095768">
              <w:rPr>
                <w:rFonts w:ascii="Calibri" w:eastAsia="Times New Roman" w:hAnsi="Calibri" w:cs="Calibri"/>
                <w:color w:val="000000"/>
                <w:sz w:val="18"/>
                <w:szCs w:val="18"/>
                <w:lang w:val="fr-FR" w:eastAsia="fr-FR"/>
              </w:rPr>
              <w:t>loand</w:t>
            </w:r>
            <w:proofErr w:type="spellEnd"/>
          </w:p>
        </w:tc>
      </w:tr>
      <w:tr w:rsidR="00095768" w:rsidRPr="00095768" w14:paraId="7CFC1280" w14:textId="77777777" w:rsidTr="00095768">
        <w:trPr>
          <w:trHeight w:val="288"/>
        </w:trPr>
        <w:tc>
          <w:tcPr>
            <w:tcW w:w="0" w:type="auto"/>
            <w:tcBorders>
              <w:top w:val="nil"/>
              <w:left w:val="nil"/>
              <w:bottom w:val="single" w:sz="4" w:space="0" w:color="auto"/>
              <w:right w:val="nil"/>
            </w:tcBorders>
            <w:shd w:val="clear" w:color="auto" w:fill="auto"/>
            <w:noWrap/>
            <w:vAlign w:val="bottom"/>
            <w:hideMark/>
          </w:tcPr>
          <w:p w14:paraId="21C2D03B" w14:textId="77777777" w:rsidR="00095768" w:rsidRPr="00095768" w:rsidRDefault="00095768" w:rsidP="00095768">
            <w:pPr>
              <w:spacing w:after="0"/>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49BB31D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auto" w:fill="auto"/>
            <w:noWrap/>
            <w:vAlign w:val="bottom"/>
            <w:hideMark/>
          </w:tcPr>
          <w:p w14:paraId="2D73C6B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2016</w:t>
            </w:r>
          </w:p>
        </w:tc>
        <w:tc>
          <w:tcPr>
            <w:tcW w:w="0" w:type="auto"/>
            <w:tcBorders>
              <w:top w:val="nil"/>
              <w:left w:val="nil"/>
              <w:bottom w:val="single" w:sz="4" w:space="0" w:color="auto"/>
              <w:right w:val="nil"/>
            </w:tcBorders>
            <w:shd w:val="clear" w:color="auto" w:fill="auto"/>
            <w:noWrap/>
            <w:vAlign w:val="bottom"/>
            <w:hideMark/>
          </w:tcPr>
          <w:p w14:paraId="4D9C455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7F1DA83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auto" w:fill="auto"/>
            <w:noWrap/>
            <w:vAlign w:val="bottom"/>
            <w:hideMark/>
          </w:tcPr>
          <w:p w14:paraId="2FCA74D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2016</w:t>
            </w:r>
          </w:p>
        </w:tc>
        <w:tc>
          <w:tcPr>
            <w:tcW w:w="0" w:type="auto"/>
            <w:tcBorders>
              <w:top w:val="nil"/>
              <w:left w:val="nil"/>
              <w:bottom w:val="single" w:sz="4" w:space="0" w:color="auto"/>
              <w:right w:val="nil"/>
            </w:tcBorders>
            <w:shd w:val="clear" w:color="auto" w:fill="auto"/>
            <w:noWrap/>
            <w:vAlign w:val="bottom"/>
            <w:hideMark/>
          </w:tcPr>
          <w:p w14:paraId="04F0F42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2AD3882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auto" w:fill="auto"/>
            <w:noWrap/>
            <w:vAlign w:val="bottom"/>
            <w:hideMark/>
          </w:tcPr>
          <w:p w14:paraId="101A65E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2016</w:t>
            </w:r>
          </w:p>
        </w:tc>
        <w:tc>
          <w:tcPr>
            <w:tcW w:w="0" w:type="auto"/>
            <w:tcBorders>
              <w:top w:val="nil"/>
              <w:left w:val="nil"/>
              <w:bottom w:val="single" w:sz="4" w:space="0" w:color="auto"/>
              <w:right w:val="nil"/>
            </w:tcBorders>
            <w:shd w:val="clear" w:color="auto" w:fill="auto"/>
            <w:noWrap/>
            <w:vAlign w:val="bottom"/>
            <w:hideMark/>
          </w:tcPr>
          <w:p w14:paraId="5FC3474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6193114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auto" w:fill="auto"/>
            <w:noWrap/>
            <w:vAlign w:val="bottom"/>
            <w:hideMark/>
          </w:tcPr>
          <w:p w14:paraId="620B263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2016</w:t>
            </w:r>
          </w:p>
        </w:tc>
        <w:tc>
          <w:tcPr>
            <w:tcW w:w="0" w:type="auto"/>
            <w:tcBorders>
              <w:top w:val="nil"/>
              <w:left w:val="nil"/>
              <w:bottom w:val="single" w:sz="4" w:space="0" w:color="auto"/>
              <w:right w:val="nil"/>
            </w:tcBorders>
            <w:shd w:val="clear" w:color="auto" w:fill="auto"/>
            <w:noWrap/>
            <w:vAlign w:val="bottom"/>
            <w:hideMark/>
          </w:tcPr>
          <w:p w14:paraId="60C4E54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7C9C35C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2010</w:t>
            </w:r>
          </w:p>
        </w:tc>
        <w:tc>
          <w:tcPr>
            <w:tcW w:w="0" w:type="auto"/>
            <w:tcBorders>
              <w:top w:val="nil"/>
              <w:left w:val="nil"/>
              <w:bottom w:val="single" w:sz="4" w:space="0" w:color="auto"/>
              <w:right w:val="nil"/>
            </w:tcBorders>
            <w:shd w:val="clear" w:color="auto" w:fill="auto"/>
            <w:noWrap/>
            <w:vAlign w:val="bottom"/>
            <w:hideMark/>
          </w:tcPr>
          <w:p w14:paraId="0FC7BF2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2016</w:t>
            </w:r>
          </w:p>
        </w:tc>
      </w:tr>
      <w:tr w:rsidR="00095768" w:rsidRPr="00095768" w14:paraId="2A8C8FE5" w14:textId="77777777" w:rsidTr="00095768">
        <w:trPr>
          <w:trHeight w:val="288"/>
        </w:trPr>
        <w:tc>
          <w:tcPr>
            <w:tcW w:w="0" w:type="auto"/>
            <w:tcBorders>
              <w:top w:val="nil"/>
              <w:left w:val="nil"/>
              <w:bottom w:val="nil"/>
              <w:right w:val="nil"/>
            </w:tcBorders>
            <w:shd w:val="clear" w:color="auto" w:fill="auto"/>
            <w:noWrap/>
            <w:vAlign w:val="bottom"/>
            <w:hideMark/>
          </w:tcPr>
          <w:p w14:paraId="6D5EBD92" w14:textId="77777777" w:rsidR="00095768" w:rsidRPr="00095768" w:rsidRDefault="00095768" w:rsidP="00095768">
            <w:pPr>
              <w:spacing w:after="0"/>
              <w:rPr>
                <w:rFonts w:ascii="Calibri" w:eastAsia="Times New Roman" w:hAnsi="Calibri" w:cs="Calibri"/>
                <w:color w:val="000000"/>
                <w:sz w:val="18"/>
                <w:szCs w:val="18"/>
                <w:lang w:val="fr-FR" w:eastAsia="fr-FR"/>
              </w:rPr>
            </w:pPr>
            <w:proofErr w:type="spellStart"/>
            <w:r w:rsidRPr="00095768">
              <w:rPr>
                <w:rFonts w:ascii="Calibri" w:eastAsia="Times New Roman" w:hAnsi="Calibri" w:cs="Calibri"/>
                <w:color w:val="000000"/>
                <w:sz w:val="18"/>
                <w:szCs w:val="18"/>
                <w:lang w:val="fr-FR" w:eastAsia="fr-FR"/>
              </w:rPr>
              <w:t>Economic</w:t>
            </w:r>
            <w:proofErr w:type="spellEnd"/>
            <w:r w:rsidRPr="00095768">
              <w:rPr>
                <w:rFonts w:ascii="Calibri" w:eastAsia="Times New Roman" w:hAnsi="Calibri" w:cs="Calibri"/>
                <w:color w:val="000000"/>
                <w:sz w:val="18"/>
                <w:szCs w:val="18"/>
                <w:lang w:val="fr-FR" w:eastAsia="fr-FR"/>
              </w:rPr>
              <w:t xml:space="preserve"> </w:t>
            </w:r>
            <w:proofErr w:type="spellStart"/>
            <w:r w:rsidRPr="00095768">
              <w:rPr>
                <w:rFonts w:ascii="Calibri" w:eastAsia="Times New Roman" w:hAnsi="Calibri" w:cs="Calibri"/>
                <w:color w:val="000000"/>
                <w:sz w:val="18"/>
                <w:szCs w:val="18"/>
                <w:lang w:val="fr-FR" w:eastAsia="fr-FR"/>
              </w:rPr>
              <w:t>investment</w:t>
            </w:r>
            <w:proofErr w:type="spellEnd"/>
          </w:p>
        </w:tc>
        <w:tc>
          <w:tcPr>
            <w:tcW w:w="0" w:type="auto"/>
            <w:tcBorders>
              <w:top w:val="nil"/>
              <w:left w:val="nil"/>
              <w:bottom w:val="nil"/>
              <w:right w:val="nil"/>
            </w:tcBorders>
            <w:shd w:val="clear" w:color="auto" w:fill="auto"/>
            <w:noWrap/>
            <w:vAlign w:val="bottom"/>
            <w:hideMark/>
          </w:tcPr>
          <w:p w14:paraId="669B7AA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75BD592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7C12B42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74969EA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5152309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591EA6F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07F7F54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4E884F7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5E5DA9C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4A47027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2135B06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23BC080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7F8BB98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nil"/>
              <w:right w:val="nil"/>
            </w:tcBorders>
            <w:shd w:val="clear" w:color="auto" w:fill="auto"/>
            <w:noWrap/>
            <w:vAlign w:val="bottom"/>
            <w:hideMark/>
          </w:tcPr>
          <w:p w14:paraId="2E59152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r>
      <w:tr w:rsidR="00095768" w:rsidRPr="00095768" w14:paraId="3F87E19A" w14:textId="77777777" w:rsidTr="00095768">
        <w:trPr>
          <w:trHeight w:val="288"/>
        </w:trPr>
        <w:tc>
          <w:tcPr>
            <w:tcW w:w="0" w:type="auto"/>
            <w:tcBorders>
              <w:top w:val="nil"/>
              <w:left w:val="nil"/>
              <w:bottom w:val="nil"/>
              <w:right w:val="nil"/>
            </w:tcBorders>
            <w:shd w:val="clear" w:color="auto" w:fill="auto"/>
            <w:noWrap/>
            <w:vAlign w:val="bottom"/>
            <w:hideMark/>
          </w:tcPr>
          <w:p w14:paraId="6D791629"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Agriculture</w:t>
            </w:r>
          </w:p>
        </w:tc>
        <w:tc>
          <w:tcPr>
            <w:tcW w:w="0" w:type="auto"/>
            <w:tcBorders>
              <w:top w:val="nil"/>
              <w:left w:val="nil"/>
              <w:bottom w:val="nil"/>
              <w:right w:val="nil"/>
            </w:tcBorders>
            <w:shd w:val="clear" w:color="auto" w:fill="auto"/>
            <w:noWrap/>
            <w:vAlign w:val="bottom"/>
            <w:hideMark/>
          </w:tcPr>
          <w:p w14:paraId="5954182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380</w:t>
            </w:r>
          </w:p>
        </w:tc>
        <w:tc>
          <w:tcPr>
            <w:tcW w:w="0" w:type="auto"/>
            <w:tcBorders>
              <w:top w:val="nil"/>
              <w:left w:val="nil"/>
              <w:bottom w:val="nil"/>
              <w:right w:val="nil"/>
            </w:tcBorders>
            <w:shd w:val="clear" w:color="auto" w:fill="auto"/>
            <w:noWrap/>
            <w:vAlign w:val="bottom"/>
            <w:hideMark/>
          </w:tcPr>
          <w:p w14:paraId="0A2F9AB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181</w:t>
            </w:r>
          </w:p>
        </w:tc>
        <w:tc>
          <w:tcPr>
            <w:tcW w:w="0" w:type="auto"/>
            <w:tcBorders>
              <w:top w:val="nil"/>
              <w:left w:val="nil"/>
              <w:bottom w:val="nil"/>
              <w:right w:val="nil"/>
            </w:tcBorders>
            <w:shd w:val="clear" w:color="auto" w:fill="auto"/>
            <w:noWrap/>
            <w:vAlign w:val="bottom"/>
            <w:hideMark/>
          </w:tcPr>
          <w:p w14:paraId="5F4F0C5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6991F5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19.42</w:t>
            </w:r>
          </w:p>
        </w:tc>
        <w:tc>
          <w:tcPr>
            <w:tcW w:w="0" w:type="auto"/>
            <w:tcBorders>
              <w:top w:val="nil"/>
              <w:left w:val="nil"/>
              <w:bottom w:val="nil"/>
              <w:right w:val="nil"/>
            </w:tcBorders>
            <w:shd w:val="clear" w:color="auto" w:fill="auto"/>
            <w:noWrap/>
            <w:vAlign w:val="bottom"/>
            <w:hideMark/>
          </w:tcPr>
          <w:p w14:paraId="6B55816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8.91</w:t>
            </w:r>
          </w:p>
        </w:tc>
        <w:tc>
          <w:tcPr>
            <w:tcW w:w="0" w:type="auto"/>
            <w:tcBorders>
              <w:top w:val="nil"/>
              <w:left w:val="nil"/>
              <w:bottom w:val="nil"/>
              <w:right w:val="nil"/>
            </w:tcBorders>
            <w:shd w:val="clear" w:color="auto" w:fill="auto"/>
            <w:noWrap/>
            <w:vAlign w:val="bottom"/>
            <w:hideMark/>
          </w:tcPr>
          <w:p w14:paraId="4A537E5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002231D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47.90</w:t>
            </w:r>
          </w:p>
        </w:tc>
        <w:tc>
          <w:tcPr>
            <w:tcW w:w="0" w:type="auto"/>
            <w:tcBorders>
              <w:top w:val="nil"/>
              <w:left w:val="nil"/>
              <w:bottom w:val="nil"/>
              <w:right w:val="nil"/>
            </w:tcBorders>
            <w:shd w:val="clear" w:color="auto" w:fill="auto"/>
            <w:noWrap/>
            <w:vAlign w:val="bottom"/>
            <w:hideMark/>
          </w:tcPr>
          <w:p w14:paraId="3ADF9A7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18.48</w:t>
            </w:r>
          </w:p>
        </w:tc>
        <w:tc>
          <w:tcPr>
            <w:tcW w:w="0" w:type="auto"/>
            <w:tcBorders>
              <w:top w:val="nil"/>
              <w:left w:val="nil"/>
              <w:bottom w:val="nil"/>
              <w:right w:val="nil"/>
            </w:tcBorders>
            <w:shd w:val="clear" w:color="auto" w:fill="auto"/>
            <w:noWrap/>
            <w:vAlign w:val="bottom"/>
            <w:hideMark/>
          </w:tcPr>
          <w:p w14:paraId="2F3697E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C6DA59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25.29</w:t>
            </w:r>
          </w:p>
        </w:tc>
        <w:tc>
          <w:tcPr>
            <w:tcW w:w="0" w:type="auto"/>
            <w:tcBorders>
              <w:top w:val="nil"/>
              <w:left w:val="nil"/>
              <w:bottom w:val="nil"/>
              <w:right w:val="nil"/>
            </w:tcBorders>
            <w:shd w:val="clear" w:color="auto" w:fill="auto"/>
            <w:noWrap/>
            <w:vAlign w:val="bottom"/>
            <w:hideMark/>
          </w:tcPr>
          <w:p w14:paraId="7576B90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62.73</w:t>
            </w:r>
          </w:p>
        </w:tc>
        <w:tc>
          <w:tcPr>
            <w:tcW w:w="0" w:type="auto"/>
            <w:tcBorders>
              <w:top w:val="nil"/>
              <w:left w:val="nil"/>
              <w:bottom w:val="nil"/>
              <w:right w:val="nil"/>
            </w:tcBorders>
            <w:shd w:val="clear" w:color="auto" w:fill="auto"/>
            <w:noWrap/>
            <w:vAlign w:val="bottom"/>
            <w:hideMark/>
          </w:tcPr>
          <w:p w14:paraId="66A4D7D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CFA64F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23.08</w:t>
            </w:r>
          </w:p>
        </w:tc>
        <w:tc>
          <w:tcPr>
            <w:tcW w:w="0" w:type="auto"/>
            <w:tcBorders>
              <w:top w:val="nil"/>
              <w:left w:val="nil"/>
              <w:bottom w:val="nil"/>
              <w:right w:val="nil"/>
            </w:tcBorders>
            <w:shd w:val="clear" w:color="auto" w:fill="auto"/>
            <w:noWrap/>
            <w:vAlign w:val="bottom"/>
            <w:hideMark/>
          </w:tcPr>
          <w:p w14:paraId="0CFF771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14.89</w:t>
            </w:r>
          </w:p>
        </w:tc>
      </w:tr>
      <w:tr w:rsidR="00095768" w:rsidRPr="00095768" w14:paraId="5CBB8FEB" w14:textId="77777777" w:rsidTr="00095768">
        <w:trPr>
          <w:trHeight w:val="288"/>
        </w:trPr>
        <w:tc>
          <w:tcPr>
            <w:tcW w:w="0" w:type="auto"/>
            <w:tcBorders>
              <w:top w:val="nil"/>
              <w:left w:val="nil"/>
              <w:bottom w:val="nil"/>
              <w:right w:val="nil"/>
            </w:tcBorders>
            <w:shd w:val="clear" w:color="auto" w:fill="auto"/>
            <w:noWrap/>
            <w:vAlign w:val="bottom"/>
            <w:hideMark/>
          </w:tcPr>
          <w:p w14:paraId="5AE6B8A5"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Investment</w:t>
            </w:r>
          </w:p>
        </w:tc>
        <w:tc>
          <w:tcPr>
            <w:tcW w:w="0" w:type="auto"/>
            <w:tcBorders>
              <w:top w:val="nil"/>
              <w:left w:val="nil"/>
              <w:bottom w:val="nil"/>
              <w:right w:val="nil"/>
            </w:tcBorders>
            <w:shd w:val="clear" w:color="auto" w:fill="auto"/>
            <w:noWrap/>
            <w:vAlign w:val="bottom"/>
            <w:hideMark/>
          </w:tcPr>
          <w:p w14:paraId="60467AC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98</w:t>
            </w:r>
          </w:p>
        </w:tc>
        <w:tc>
          <w:tcPr>
            <w:tcW w:w="0" w:type="auto"/>
            <w:tcBorders>
              <w:top w:val="nil"/>
              <w:left w:val="nil"/>
              <w:bottom w:val="nil"/>
              <w:right w:val="nil"/>
            </w:tcBorders>
            <w:shd w:val="clear" w:color="auto" w:fill="auto"/>
            <w:noWrap/>
            <w:vAlign w:val="bottom"/>
            <w:hideMark/>
          </w:tcPr>
          <w:p w14:paraId="0AE08F7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105</w:t>
            </w:r>
          </w:p>
        </w:tc>
        <w:tc>
          <w:tcPr>
            <w:tcW w:w="0" w:type="auto"/>
            <w:tcBorders>
              <w:top w:val="nil"/>
              <w:left w:val="nil"/>
              <w:bottom w:val="nil"/>
              <w:right w:val="nil"/>
            </w:tcBorders>
            <w:shd w:val="clear" w:color="auto" w:fill="auto"/>
            <w:noWrap/>
            <w:vAlign w:val="bottom"/>
            <w:hideMark/>
          </w:tcPr>
          <w:p w14:paraId="63EC8F0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05383F1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5.01</w:t>
            </w:r>
          </w:p>
        </w:tc>
        <w:tc>
          <w:tcPr>
            <w:tcW w:w="0" w:type="auto"/>
            <w:tcBorders>
              <w:top w:val="nil"/>
              <w:left w:val="nil"/>
              <w:bottom w:val="nil"/>
              <w:right w:val="nil"/>
            </w:tcBorders>
            <w:shd w:val="clear" w:color="auto" w:fill="auto"/>
            <w:noWrap/>
            <w:vAlign w:val="bottom"/>
            <w:hideMark/>
          </w:tcPr>
          <w:p w14:paraId="59D806C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5.17</w:t>
            </w:r>
          </w:p>
        </w:tc>
        <w:tc>
          <w:tcPr>
            <w:tcW w:w="0" w:type="auto"/>
            <w:tcBorders>
              <w:top w:val="nil"/>
              <w:left w:val="nil"/>
              <w:bottom w:val="nil"/>
              <w:right w:val="nil"/>
            </w:tcBorders>
            <w:shd w:val="clear" w:color="auto" w:fill="auto"/>
            <w:noWrap/>
            <w:vAlign w:val="bottom"/>
            <w:hideMark/>
          </w:tcPr>
          <w:p w14:paraId="4F88E27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1642DA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14.81</w:t>
            </w:r>
          </w:p>
        </w:tc>
        <w:tc>
          <w:tcPr>
            <w:tcW w:w="0" w:type="auto"/>
            <w:tcBorders>
              <w:top w:val="nil"/>
              <w:left w:val="nil"/>
              <w:bottom w:val="nil"/>
              <w:right w:val="nil"/>
            </w:tcBorders>
            <w:shd w:val="clear" w:color="auto" w:fill="auto"/>
            <w:noWrap/>
            <w:vAlign w:val="bottom"/>
            <w:hideMark/>
          </w:tcPr>
          <w:p w14:paraId="0B38D57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13.96</w:t>
            </w:r>
          </w:p>
        </w:tc>
        <w:tc>
          <w:tcPr>
            <w:tcW w:w="0" w:type="auto"/>
            <w:tcBorders>
              <w:top w:val="nil"/>
              <w:left w:val="nil"/>
              <w:bottom w:val="nil"/>
              <w:right w:val="nil"/>
            </w:tcBorders>
            <w:shd w:val="clear" w:color="auto" w:fill="auto"/>
            <w:noWrap/>
            <w:vAlign w:val="bottom"/>
            <w:hideMark/>
          </w:tcPr>
          <w:p w14:paraId="1E60D4C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03CF746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40.99</w:t>
            </w:r>
          </w:p>
        </w:tc>
        <w:tc>
          <w:tcPr>
            <w:tcW w:w="0" w:type="auto"/>
            <w:tcBorders>
              <w:top w:val="nil"/>
              <w:left w:val="nil"/>
              <w:bottom w:val="nil"/>
              <w:right w:val="nil"/>
            </w:tcBorders>
            <w:shd w:val="clear" w:color="auto" w:fill="auto"/>
            <w:noWrap/>
            <w:vAlign w:val="bottom"/>
            <w:hideMark/>
          </w:tcPr>
          <w:p w14:paraId="48B1E11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83.79</w:t>
            </w:r>
          </w:p>
        </w:tc>
        <w:tc>
          <w:tcPr>
            <w:tcW w:w="0" w:type="auto"/>
            <w:tcBorders>
              <w:top w:val="nil"/>
              <w:left w:val="nil"/>
              <w:bottom w:val="nil"/>
              <w:right w:val="nil"/>
            </w:tcBorders>
            <w:shd w:val="clear" w:color="auto" w:fill="auto"/>
            <w:noWrap/>
            <w:vAlign w:val="bottom"/>
            <w:hideMark/>
          </w:tcPr>
          <w:p w14:paraId="6B1546B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2A468AA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9.65</w:t>
            </w:r>
          </w:p>
        </w:tc>
        <w:tc>
          <w:tcPr>
            <w:tcW w:w="0" w:type="auto"/>
            <w:tcBorders>
              <w:top w:val="nil"/>
              <w:left w:val="nil"/>
              <w:bottom w:val="nil"/>
              <w:right w:val="nil"/>
            </w:tcBorders>
            <w:shd w:val="clear" w:color="auto" w:fill="auto"/>
            <w:noWrap/>
            <w:vAlign w:val="bottom"/>
            <w:hideMark/>
          </w:tcPr>
          <w:p w14:paraId="6F42477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11.54</w:t>
            </w:r>
          </w:p>
        </w:tc>
      </w:tr>
      <w:tr w:rsidR="00095768" w:rsidRPr="00095768" w14:paraId="12669BE7" w14:textId="77777777" w:rsidTr="00095768">
        <w:trPr>
          <w:trHeight w:val="288"/>
        </w:trPr>
        <w:tc>
          <w:tcPr>
            <w:tcW w:w="0" w:type="auto"/>
            <w:tcBorders>
              <w:top w:val="nil"/>
              <w:left w:val="nil"/>
              <w:bottom w:val="nil"/>
              <w:right w:val="nil"/>
            </w:tcBorders>
            <w:shd w:val="clear" w:color="auto" w:fill="auto"/>
            <w:noWrap/>
            <w:vAlign w:val="bottom"/>
            <w:hideMark/>
          </w:tcPr>
          <w:p w14:paraId="228D0A82" w14:textId="77777777" w:rsidR="00095768" w:rsidRPr="00095768" w:rsidRDefault="00095768" w:rsidP="00095768">
            <w:pPr>
              <w:spacing w:after="0"/>
              <w:rPr>
                <w:rFonts w:ascii="Calibri" w:eastAsia="Times New Roman" w:hAnsi="Calibri" w:cs="Calibri"/>
                <w:color w:val="000000"/>
                <w:sz w:val="18"/>
                <w:szCs w:val="18"/>
                <w:lang w:val="fr-FR" w:eastAsia="fr-FR"/>
              </w:rPr>
            </w:pPr>
            <w:proofErr w:type="spellStart"/>
            <w:r w:rsidRPr="00095768">
              <w:rPr>
                <w:rFonts w:ascii="Calibri" w:eastAsia="Times New Roman" w:hAnsi="Calibri" w:cs="Calibri"/>
                <w:color w:val="000000"/>
                <w:sz w:val="18"/>
                <w:szCs w:val="18"/>
                <w:lang w:val="fr-FR" w:eastAsia="fr-FR"/>
              </w:rPr>
              <w:t>Current</w:t>
            </w:r>
            <w:proofErr w:type="spellEnd"/>
            <w:r w:rsidRPr="00095768">
              <w:rPr>
                <w:rFonts w:ascii="Calibri" w:eastAsia="Times New Roman" w:hAnsi="Calibri" w:cs="Calibri"/>
                <w:color w:val="000000"/>
                <w:sz w:val="18"/>
                <w:szCs w:val="18"/>
                <w:lang w:val="fr-FR" w:eastAsia="fr-FR"/>
              </w:rPr>
              <w:t xml:space="preserve"> </w:t>
            </w:r>
            <w:proofErr w:type="spellStart"/>
            <w:r w:rsidRPr="00095768">
              <w:rPr>
                <w:rFonts w:ascii="Calibri" w:eastAsia="Times New Roman" w:hAnsi="Calibri" w:cs="Calibri"/>
                <w:color w:val="000000"/>
                <w:sz w:val="18"/>
                <w:szCs w:val="18"/>
                <w:lang w:val="fr-FR" w:eastAsia="fr-FR"/>
              </w:rPr>
              <w:t>expenses</w:t>
            </w:r>
            <w:proofErr w:type="spellEnd"/>
          </w:p>
        </w:tc>
        <w:tc>
          <w:tcPr>
            <w:tcW w:w="0" w:type="auto"/>
            <w:tcBorders>
              <w:top w:val="nil"/>
              <w:left w:val="nil"/>
              <w:bottom w:val="nil"/>
              <w:right w:val="nil"/>
            </w:tcBorders>
            <w:shd w:val="clear" w:color="auto" w:fill="auto"/>
            <w:noWrap/>
            <w:vAlign w:val="bottom"/>
            <w:hideMark/>
          </w:tcPr>
          <w:p w14:paraId="17D8D26E" w14:textId="77777777" w:rsidR="00095768" w:rsidRPr="00095768" w:rsidRDefault="00095768" w:rsidP="00095768">
            <w:pPr>
              <w:spacing w:after="0"/>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40D781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3C4D1B0"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0AD23C7"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D427723"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9E15EA5"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5F8AD1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0163530"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F032B61"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7A42A3D"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FF55355"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18AB04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09A84A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2E04FE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r>
      <w:tr w:rsidR="00095768" w:rsidRPr="00095768" w14:paraId="498347D5" w14:textId="77777777" w:rsidTr="00095768">
        <w:trPr>
          <w:trHeight w:val="288"/>
        </w:trPr>
        <w:tc>
          <w:tcPr>
            <w:tcW w:w="0" w:type="auto"/>
            <w:tcBorders>
              <w:top w:val="nil"/>
              <w:left w:val="nil"/>
              <w:bottom w:val="nil"/>
              <w:right w:val="nil"/>
            </w:tcBorders>
            <w:shd w:val="clear" w:color="auto" w:fill="auto"/>
            <w:noWrap/>
            <w:vAlign w:val="bottom"/>
            <w:hideMark/>
          </w:tcPr>
          <w:p w14:paraId="0577A2DF"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Family</w:t>
            </w:r>
          </w:p>
        </w:tc>
        <w:tc>
          <w:tcPr>
            <w:tcW w:w="0" w:type="auto"/>
            <w:tcBorders>
              <w:top w:val="nil"/>
              <w:left w:val="nil"/>
              <w:bottom w:val="nil"/>
              <w:right w:val="nil"/>
            </w:tcBorders>
            <w:shd w:val="clear" w:color="auto" w:fill="auto"/>
            <w:noWrap/>
            <w:vAlign w:val="bottom"/>
            <w:hideMark/>
          </w:tcPr>
          <w:p w14:paraId="59AFF01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528</w:t>
            </w:r>
          </w:p>
        </w:tc>
        <w:tc>
          <w:tcPr>
            <w:tcW w:w="0" w:type="auto"/>
            <w:tcBorders>
              <w:top w:val="nil"/>
              <w:left w:val="nil"/>
              <w:bottom w:val="nil"/>
              <w:right w:val="nil"/>
            </w:tcBorders>
            <w:shd w:val="clear" w:color="auto" w:fill="auto"/>
            <w:noWrap/>
            <w:vAlign w:val="bottom"/>
            <w:hideMark/>
          </w:tcPr>
          <w:p w14:paraId="4D9AB39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542</w:t>
            </w:r>
          </w:p>
        </w:tc>
        <w:tc>
          <w:tcPr>
            <w:tcW w:w="0" w:type="auto"/>
            <w:tcBorders>
              <w:top w:val="nil"/>
              <w:left w:val="nil"/>
              <w:bottom w:val="nil"/>
              <w:right w:val="nil"/>
            </w:tcBorders>
            <w:shd w:val="clear" w:color="auto" w:fill="auto"/>
            <w:noWrap/>
            <w:vAlign w:val="bottom"/>
            <w:hideMark/>
          </w:tcPr>
          <w:p w14:paraId="42E79C4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A62A75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26.98</w:t>
            </w:r>
          </w:p>
        </w:tc>
        <w:tc>
          <w:tcPr>
            <w:tcW w:w="0" w:type="auto"/>
            <w:tcBorders>
              <w:top w:val="nil"/>
              <w:left w:val="nil"/>
              <w:bottom w:val="nil"/>
              <w:right w:val="nil"/>
            </w:tcBorders>
            <w:shd w:val="clear" w:color="auto" w:fill="auto"/>
            <w:noWrap/>
            <w:vAlign w:val="bottom"/>
            <w:hideMark/>
          </w:tcPr>
          <w:p w14:paraId="45BA3E6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26.69</w:t>
            </w:r>
          </w:p>
        </w:tc>
        <w:tc>
          <w:tcPr>
            <w:tcW w:w="0" w:type="auto"/>
            <w:tcBorders>
              <w:top w:val="nil"/>
              <w:left w:val="nil"/>
              <w:bottom w:val="nil"/>
              <w:right w:val="nil"/>
            </w:tcBorders>
            <w:shd w:val="clear" w:color="auto" w:fill="auto"/>
            <w:noWrap/>
            <w:vAlign w:val="bottom"/>
            <w:hideMark/>
          </w:tcPr>
          <w:p w14:paraId="14F9873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3C4CB2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73.33</w:t>
            </w:r>
          </w:p>
        </w:tc>
        <w:tc>
          <w:tcPr>
            <w:tcW w:w="0" w:type="auto"/>
            <w:tcBorders>
              <w:top w:val="nil"/>
              <w:left w:val="nil"/>
              <w:bottom w:val="nil"/>
              <w:right w:val="nil"/>
            </w:tcBorders>
            <w:shd w:val="clear" w:color="auto" w:fill="auto"/>
            <w:noWrap/>
            <w:vAlign w:val="bottom"/>
            <w:hideMark/>
          </w:tcPr>
          <w:p w14:paraId="6FB27B4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57.49</w:t>
            </w:r>
          </w:p>
        </w:tc>
        <w:tc>
          <w:tcPr>
            <w:tcW w:w="0" w:type="auto"/>
            <w:tcBorders>
              <w:top w:val="nil"/>
              <w:left w:val="nil"/>
              <w:bottom w:val="nil"/>
              <w:right w:val="nil"/>
            </w:tcBorders>
            <w:shd w:val="clear" w:color="auto" w:fill="auto"/>
            <w:noWrap/>
            <w:vAlign w:val="bottom"/>
            <w:hideMark/>
          </w:tcPr>
          <w:p w14:paraId="2D2FF9A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248A6C8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10.67</w:t>
            </w:r>
          </w:p>
        </w:tc>
        <w:tc>
          <w:tcPr>
            <w:tcW w:w="0" w:type="auto"/>
            <w:tcBorders>
              <w:top w:val="nil"/>
              <w:left w:val="nil"/>
              <w:bottom w:val="nil"/>
              <w:right w:val="nil"/>
            </w:tcBorders>
            <w:shd w:val="clear" w:color="auto" w:fill="auto"/>
            <w:noWrap/>
            <w:vAlign w:val="bottom"/>
            <w:hideMark/>
          </w:tcPr>
          <w:p w14:paraId="6D72CC4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18.43</w:t>
            </w:r>
          </w:p>
        </w:tc>
        <w:tc>
          <w:tcPr>
            <w:tcW w:w="0" w:type="auto"/>
            <w:tcBorders>
              <w:top w:val="nil"/>
              <w:left w:val="nil"/>
              <w:bottom w:val="nil"/>
              <w:right w:val="nil"/>
            </w:tcBorders>
            <w:shd w:val="clear" w:color="auto" w:fill="auto"/>
            <w:noWrap/>
            <w:vAlign w:val="bottom"/>
            <w:hideMark/>
          </w:tcPr>
          <w:p w14:paraId="68140AC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63EE2A5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13.53</w:t>
            </w:r>
          </w:p>
        </w:tc>
        <w:tc>
          <w:tcPr>
            <w:tcW w:w="0" w:type="auto"/>
            <w:tcBorders>
              <w:top w:val="nil"/>
              <w:left w:val="nil"/>
              <w:bottom w:val="nil"/>
              <w:right w:val="nil"/>
            </w:tcBorders>
            <w:shd w:val="clear" w:color="auto" w:fill="auto"/>
            <w:noWrap/>
            <w:vAlign w:val="bottom"/>
            <w:hideMark/>
          </w:tcPr>
          <w:p w14:paraId="42DA3DD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13.10</w:t>
            </w:r>
          </w:p>
        </w:tc>
      </w:tr>
      <w:tr w:rsidR="00095768" w:rsidRPr="00095768" w14:paraId="4CF85BC5" w14:textId="77777777" w:rsidTr="00095768">
        <w:trPr>
          <w:trHeight w:val="288"/>
        </w:trPr>
        <w:tc>
          <w:tcPr>
            <w:tcW w:w="0" w:type="auto"/>
            <w:tcBorders>
              <w:top w:val="nil"/>
              <w:left w:val="nil"/>
              <w:bottom w:val="nil"/>
              <w:right w:val="nil"/>
            </w:tcBorders>
            <w:shd w:val="clear" w:color="auto" w:fill="auto"/>
            <w:noWrap/>
            <w:vAlign w:val="bottom"/>
            <w:hideMark/>
          </w:tcPr>
          <w:p w14:paraId="4C679157"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proofErr w:type="spellStart"/>
            <w:r w:rsidRPr="00095768">
              <w:rPr>
                <w:rFonts w:ascii="Calibri" w:eastAsia="Times New Roman" w:hAnsi="Calibri" w:cs="Calibri"/>
                <w:i/>
                <w:iCs/>
                <w:color w:val="000000"/>
                <w:sz w:val="18"/>
                <w:szCs w:val="18"/>
                <w:lang w:val="fr-FR" w:eastAsia="fr-FR"/>
              </w:rPr>
              <w:t>Repay</w:t>
            </w:r>
            <w:proofErr w:type="spellEnd"/>
            <w:r w:rsidRPr="00095768">
              <w:rPr>
                <w:rFonts w:ascii="Calibri" w:eastAsia="Times New Roman" w:hAnsi="Calibri" w:cs="Calibri"/>
                <w:i/>
                <w:iCs/>
                <w:color w:val="000000"/>
                <w:sz w:val="18"/>
                <w:szCs w:val="18"/>
                <w:lang w:val="fr-FR" w:eastAsia="fr-FR"/>
              </w:rPr>
              <w:t xml:space="preserve"> </w:t>
            </w:r>
            <w:proofErr w:type="spellStart"/>
            <w:r w:rsidRPr="00095768">
              <w:rPr>
                <w:rFonts w:ascii="Calibri" w:eastAsia="Times New Roman" w:hAnsi="Calibri" w:cs="Calibri"/>
                <w:i/>
                <w:iCs/>
                <w:color w:val="000000"/>
                <w:sz w:val="18"/>
                <w:szCs w:val="18"/>
                <w:lang w:val="fr-FR" w:eastAsia="fr-FR"/>
              </w:rPr>
              <w:t>previous</w:t>
            </w:r>
            <w:proofErr w:type="spellEnd"/>
            <w:r w:rsidRPr="00095768">
              <w:rPr>
                <w:rFonts w:ascii="Calibri" w:eastAsia="Times New Roman" w:hAnsi="Calibri" w:cs="Calibri"/>
                <w:i/>
                <w:iCs/>
                <w:color w:val="000000"/>
                <w:sz w:val="18"/>
                <w:szCs w:val="18"/>
                <w:lang w:val="fr-FR" w:eastAsia="fr-FR"/>
              </w:rPr>
              <w:t xml:space="preserve"> </w:t>
            </w:r>
            <w:proofErr w:type="spellStart"/>
            <w:r w:rsidRPr="00095768">
              <w:rPr>
                <w:rFonts w:ascii="Calibri" w:eastAsia="Times New Roman" w:hAnsi="Calibri" w:cs="Calibri"/>
                <w:i/>
                <w:iCs/>
                <w:color w:val="000000"/>
                <w:sz w:val="18"/>
                <w:szCs w:val="18"/>
                <w:lang w:val="fr-FR" w:eastAsia="fr-FR"/>
              </w:rPr>
              <w:t>loan</w:t>
            </w:r>
            <w:proofErr w:type="spellEnd"/>
          </w:p>
        </w:tc>
        <w:tc>
          <w:tcPr>
            <w:tcW w:w="0" w:type="auto"/>
            <w:tcBorders>
              <w:top w:val="nil"/>
              <w:left w:val="nil"/>
              <w:bottom w:val="nil"/>
              <w:right w:val="nil"/>
            </w:tcBorders>
            <w:shd w:val="clear" w:color="auto" w:fill="auto"/>
            <w:noWrap/>
            <w:vAlign w:val="bottom"/>
            <w:hideMark/>
          </w:tcPr>
          <w:p w14:paraId="3C3FA41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87</w:t>
            </w:r>
          </w:p>
        </w:tc>
        <w:tc>
          <w:tcPr>
            <w:tcW w:w="0" w:type="auto"/>
            <w:tcBorders>
              <w:top w:val="nil"/>
              <w:left w:val="nil"/>
              <w:bottom w:val="nil"/>
              <w:right w:val="nil"/>
            </w:tcBorders>
            <w:shd w:val="clear" w:color="auto" w:fill="auto"/>
            <w:noWrap/>
            <w:vAlign w:val="bottom"/>
            <w:hideMark/>
          </w:tcPr>
          <w:p w14:paraId="7086553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95</w:t>
            </w:r>
          </w:p>
        </w:tc>
        <w:tc>
          <w:tcPr>
            <w:tcW w:w="0" w:type="auto"/>
            <w:tcBorders>
              <w:top w:val="nil"/>
              <w:left w:val="nil"/>
              <w:bottom w:val="nil"/>
              <w:right w:val="nil"/>
            </w:tcBorders>
            <w:shd w:val="clear" w:color="auto" w:fill="auto"/>
            <w:noWrap/>
            <w:vAlign w:val="bottom"/>
            <w:hideMark/>
          </w:tcPr>
          <w:p w14:paraId="6C7F7FB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254330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4.45</w:t>
            </w:r>
          </w:p>
        </w:tc>
        <w:tc>
          <w:tcPr>
            <w:tcW w:w="0" w:type="auto"/>
            <w:tcBorders>
              <w:top w:val="nil"/>
              <w:left w:val="nil"/>
              <w:bottom w:val="nil"/>
              <w:right w:val="nil"/>
            </w:tcBorders>
            <w:shd w:val="clear" w:color="auto" w:fill="auto"/>
            <w:noWrap/>
            <w:vAlign w:val="bottom"/>
            <w:hideMark/>
          </w:tcPr>
          <w:p w14:paraId="2336646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4.68</w:t>
            </w:r>
          </w:p>
        </w:tc>
        <w:tc>
          <w:tcPr>
            <w:tcW w:w="0" w:type="auto"/>
            <w:tcBorders>
              <w:top w:val="nil"/>
              <w:left w:val="nil"/>
              <w:bottom w:val="nil"/>
              <w:right w:val="nil"/>
            </w:tcBorders>
            <w:shd w:val="clear" w:color="auto" w:fill="auto"/>
            <w:noWrap/>
            <w:vAlign w:val="bottom"/>
            <w:hideMark/>
          </w:tcPr>
          <w:p w14:paraId="78B629D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F7105C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18.52</w:t>
            </w:r>
          </w:p>
        </w:tc>
        <w:tc>
          <w:tcPr>
            <w:tcW w:w="0" w:type="auto"/>
            <w:tcBorders>
              <w:top w:val="nil"/>
              <w:left w:val="nil"/>
              <w:bottom w:val="nil"/>
              <w:right w:val="nil"/>
            </w:tcBorders>
            <w:shd w:val="clear" w:color="auto" w:fill="auto"/>
            <w:noWrap/>
            <w:vAlign w:val="bottom"/>
            <w:hideMark/>
          </w:tcPr>
          <w:p w14:paraId="2DF8C03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16.43</w:t>
            </w:r>
          </w:p>
        </w:tc>
        <w:tc>
          <w:tcPr>
            <w:tcW w:w="0" w:type="auto"/>
            <w:tcBorders>
              <w:top w:val="nil"/>
              <w:left w:val="nil"/>
              <w:bottom w:val="nil"/>
              <w:right w:val="nil"/>
            </w:tcBorders>
            <w:shd w:val="clear" w:color="auto" w:fill="auto"/>
            <w:noWrap/>
            <w:vAlign w:val="bottom"/>
            <w:hideMark/>
          </w:tcPr>
          <w:p w14:paraId="3AF3257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1CF05EF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18.80</w:t>
            </w:r>
          </w:p>
        </w:tc>
        <w:tc>
          <w:tcPr>
            <w:tcW w:w="0" w:type="auto"/>
            <w:tcBorders>
              <w:top w:val="nil"/>
              <w:left w:val="nil"/>
              <w:bottom w:val="nil"/>
              <w:right w:val="nil"/>
            </w:tcBorders>
            <w:shd w:val="clear" w:color="auto" w:fill="auto"/>
            <w:noWrap/>
            <w:vAlign w:val="bottom"/>
            <w:hideMark/>
          </w:tcPr>
          <w:p w14:paraId="4C78917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27.67</w:t>
            </w:r>
          </w:p>
        </w:tc>
        <w:tc>
          <w:tcPr>
            <w:tcW w:w="0" w:type="auto"/>
            <w:tcBorders>
              <w:top w:val="nil"/>
              <w:left w:val="nil"/>
              <w:bottom w:val="nil"/>
              <w:right w:val="nil"/>
            </w:tcBorders>
            <w:shd w:val="clear" w:color="auto" w:fill="auto"/>
            <w:noWrap/>
            <w:vAlign w:val="bottom"/>
            <w:hideMark/>
          </w:tcPr>
          <w:p w14:paraId="487214C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B93916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3.93</w:t>
            </w:r>
          </w:p>
        </w:tc>
        <w:tc>
          <w:tcPr>
            <w:tcW w:w="0" w:type="auto"/>
            <w:tcBorders>
              <w:top w:val="nil"/>
              <w:left w:val="nil"/>
              <w:bottom w:val="nil"/>
              <w:right w:val="nil"/>
            </w:tcBorders>
            <w:shd w:val="clear" w:color="auto" w:fill="auto"/>
            <w:noWrap/>
            <w:vAlign w:val="bottom"/>
            <w:hideMark/>
          </w:tcPr>
          <w:p w14:paraId="473EBD7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3.45</w:t>
            </w:r>
          </w:p>
        </w:tc>
      </w:tr>
      <w:tr w:rsidR="00095768" w:rsidRPr="00095768" w14:paraId="6B67884C" w14:textId="77777777" w:rsidTr="00095768">
        <w:trPr>
          <w:trHeight w:val="288"/>
        </w:trPr>
        <w:tc>
          <w:tcPr>
            <w:tcW w:w="0" w:type="auto"/>
            <w:tcBorders>
              <w:top w:val="nil"/>
              <w:left w:val="nil"/>
              <w:bottom w:val="nil"/>
              <w:right w:val="nil"/>
            </w:tcBorders>
            <w:shd w:val="clear" w:color="auto" w:fill="auto"/>
            <w:noWrap/>
            <w:vAlign w:val="bottom"/>
            <w:hideMark/>
          </w:tcPr>
          <w:p w14:paraId="6EE57BF7"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Relatives</w:t>
            </w:r>
          </w:p>
        </w:tc>
        <w:tc>
          <w:tcPr>
            <w:tcW w:w="0" w:type="auto"/>
            <w:tcBorders>
              <w:top w:val="nil"/>
              <w:left w:val="nil"/>
              <w:bottom w:val="nil"/>
              <w:right w:val="nil"/>
            </w:tcBorders>
            <w:shd w:val="clear" w:color="auto" w:fill="auto"/>
            <w:noWrap/>
            <w:vAlign w:val="bottom"/>
            <w:hideMark/>
          </w:tcPr>
          <w:p w14:paraId="74D1A60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102</w:t>
            </w:r>
          </w:p>
        </w:tc>
        <w:tc>
          <w:tcPr>
            <w:tcW w:w="0" w:type="auto"/>
            <w:tcBorders>
              <w:top w:val="nil"/>
              <w:left w:val="nil"/>
              <w:bottom w:val="nil"/>
              <w:right w:val="nil"/>
            </w:tcBorders>
            <w:shd w:val="clear" w:color="auto" w:fill="auto"/>
            <w:noWrap/>
            <w:vAlign w:val="bottom"/>
            <w:hideMark/>
          </w:tcPr>
          <w:p w14:paraId="29DBE2D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w:t>
            </w:r>
          </w:p>
        </w:tc>
        <w:tc>
          <w:tcPr>
            <w:tcW w:w="0" w:type="auto"/>
            <w:tcBorders>
              <w:top w:val="nil"/>
              <w:left w:val="nil"/>
              <w:bottom w:val="nil"/>
              <w:right w:val="nil"/>
            </w:tcBorders>
            <w:shd w:val="clear" w:color="auto" w:fill="auto"/>
            <w:noWrap/>
            <w:vAlign w:val="bottom"/>
            <w:hideMark/>
          </w:tcPr>
          <w:p w14:paraId="7399384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810D92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5.21</w:t>
            </w:r>
          </w:p>
        </w:tc>
        <w:tc>
          <w:tcPr>
            <w:tcW w:w="0" w:type="auto"/>
            <w:tcBorders>
              <w:top w:val="nil"/>
              <w:left w:val="nil"/>
              <w:bottom w:val="nil"/>
              <w:right w:val="nil"/>
            </w:tcBorders>
            <w:shd w:val="clear" w:color="auto" w:fill="auto"/>
            <w:noWrap/>
            <w:vAlign w:val="bottom"/>
            <w:hideMark/>
          </w:tcPr>
          <w:p w14:paraId="1967939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0.64</w:t>
            </w:r>
          </w:p>
        </w:tc>
        <w:tc>
          <w:tcPr>
            <w:tcW w:w="0" w:type="auto"/>
            <w:tcBorders>
              <w:top w:val="nil"/>
              <w:left w:val="nil"/>
              <w:bottom w:val="nil"/>
              <w:right w:val="nil"/>
            </w:tcBorders>
            <w:shd w:val="clear" w:color="auto" w:fill="auto"/>
            <w:noWrap/>
            <w:vAlign w:val="bottom"/>
            <w:hideMark/>
          </w:tcPr>
          <w:p w14:paraId="359613A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97D851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23.70</w:t>
            </w:r>
          </w:p>
        </w:tc>
        <w:tc>
          <w:tcPr>
            <w:tcW w:w="0" w:type="auto"/>
            <w:tcBorders>
              <w:top w:val="nil"/>
              <w:left w:val="nil"/>
              <w:bottom w:val="nil"/>
              <w:right w:val="nil"/>
            </w:tcBorders>
            <w:shd w:val="clear" w:color="auto" w:fill="auto"/>
            <w:noWrap/>
            <w:vAlign w:val="bottom"/>
            <w:hideMark/>
          </w:tcPr>
          <w:p w14:paraId="3F6710B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2.05</w:t>
            </w:r>
          </w:p>
        </w:tc>
        <w:tc>
          <w:tcPr>
            <w:tcW w:w="0" w:type="auto"/>
            <w:tcBorders>
              <w:top w:val="nil"/>
              <w:left w:val="nil"/>
              <w:bottom w:val="nil"/>
              <w:right w:val="nil"/>
            </w:tcBorders>
            <w:shd w:val="clear" w:color="auto" w:fill="auto"/>
            <w:noWrap/>
            <w:vAlign w:val="bottom"/>
            <w:hideMark/>
          </w:tcPr>
          <w:p w14:paraId="6FF8AB5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1D1522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10.73</w:t>
            </w:r>
          </w:p>
        </w:tc>
        <w:tc>
          <w:tcPr>
            <w:tcW w:w="0" w:type="auto"/>
            <w:tcBorders>
              <w:top w:val="nil"/>
              <w:left w:val="nil"/>
              <w:bottom w:val="nil"/>
              <w:right w:val="nil"/>
            </w:tcBorders>
            <w:shd w:val="clear" w:color="auto" w:fill="auto"/>
            <w:noWrap/>
            <w:vAlign w:val="bottom"/>
            <w:hideMark/>
          </w:tcPr>
          <w:p w14:paraId="4648F18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11.71</w:t>
            </w:r>
          </w:p>
        </w:tc>
        <w:tc>
          <w:tcPr>
            <w:tcW w:w="0" w:type="auto"/>
            <w:tcBorders>
              <w:top w:val="nil"/>
              <w:left w:val="nil"/>
              <w:bottom w:val="nil"/>
              <w:right w:val="nil"/>
            </w:tcBorders>
            <w:shd w:val="clear" w:color="auto" w:fill="auto"/>
            <w:noWrap/>
            <w:vAlign w:val="bottom"/>
            <w:hideMark/>
          </w:tcPr>
          <w:p w14:paraId="7767196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945FE8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2.63</w:t>
            </w:r>
          </w:p>
        </w:tc>
        <w:tc>
          <w:tcPr>
            <w:tcW w:w="0" w:type="auto"/>
            <w:tcBorders>
              <w:top w:val="nil"/>
              <w:left w:val="nil"/>
              <w:bottom w:val="nil"/>
              <w:right w:val="nil"/>
            </w:tcBorders>
            <w:shd w:val="clear" w:color="auto" w:fill="auto"/>
            <w:noWrap/>
            <w:vAlign w:val="bottom"/>
            <w:hideMark/>
          </w:tcPr>
          <w:p w14:paraId="1D41410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0.20</w:t>
            </w:r>
          </w:p>
        </w:tc>
      </w:tr>
      <w:tr w:rsidR="00095768" w:rsidRPr="00095768" w14:paraId="715EE177" w14:textId="77777777" w:rsidTr="00095768">
        <w:trPr>
          <w:trHeight w:val="288"/>
        </w:trPr>
        <w:tc>
          <w:tcPr>
            <w:tcW w:w="0" w:type="auto"/>
            <w:tcBorders>
              <w:top w:val="nil"/>
              <w:left w:val="nil"/>
              <w:bottom w:val="nil"/>
              <w:right w:val="nil"/>
            </w:tcBorders>
            <w:shd w:val="clear" w:color="auto" w:fill="auto"/>
            <w:noWrap/>
            <w:vAlign w:val="bottom"/>
            <w:hideMark/>
          </w:tcPr>
          <w:p w14:paraId="7DE4A9A4" w14:textId="77777777" w:rsidR="00095768" w:rsidRPr="00095768" w:rsidRDefault="00095768" w:rsidP="00095768">
            <w:pPr>
              <w:spacing w:after="0"/>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Human capital</w:t>
            </w:r>
          </w:p>
        </w:tc>
        <w:tc>
          <w:tcPr>
            <w:tcW w:w="0" w:type="auto"/>
            <w:tcBorders>
              <w:top w:val="nil"/>
              <w:left w:val="nil"/>
              <w:bottom w:val="nil"/>
              <w:right w:val="nil"/>
            </w:tcBorders>
            <w:shd w:val="clear" w:color="auto" w:fill="auto"/>
            <w:noWrap/>
            <w:vAlign w:val="bottom"/>
            <w:hideMark/>
          </w:tcPr>
          <w:p w14:paraId="484CF748" w14:textId="77777777" w:rsidR="00095768" w:rsidRPr="00095768" w:rsidRDefault="00095768" w:rsidP="00095768">
            <w:pPr>
              <w:spacing w:after="0"/>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BB764FD"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5AA23F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B327D57"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AFF5ECD"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1E4C367"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0291399"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2E18B82"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1B1B32B"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9337A9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6F4054B"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A7BFEC9"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1EA5E7B"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737590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r>
      <w:tr w:rsidR="00095768" w:rsidRPr="00095768" w14:paraId="5EC3661D" w14:textId="77777777" w:rsidTr="00095768">
        <w:trPr>
          <w:trHeight w:val="288"/>
        </w:trPr>
        <w:tc>
          <w:tcPr>
            <w:tcW w:w="0" w:type="auto"/>
            <w:tcBorders>
              <w:top w:val="nil"/>
              <w:left w:val="nil"/>
              <w:bottom w:val="nil"/>
              <w:right w:val="nil"/>
            </w:tcBorders>
            <w:shd w:val="clear" w:color="auto" w:fill="auto"/>
            <w:noWrap/>
            <w:vAlign w:val="bottom"/>
            <w:hideMark/>
          </w:tcPr>
          <w:p w14:paraId="5FFC8B76"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proofErr w:type="spellStart"/>
            <w:r w:rsidRPr="00095768">
              <w:rPr>
                <w:rFonts w:ascii="Calibri" w:eastAsia="Times New Roman" w:hAnsi="Calibri" w:cs="Calibri"/>
                <w:i/>
                <w:iCs/>
                <w:color w:val="000000"/>
                <w:sz w:val="18"/>
                <w:szCs w:val="18"/>
                <w:lang w:val="fr-FR" w:eastAsia="fr-FR"/>
              </w:rPr>
              <w:t>Health</w:t>
            </w:r>
            <w:proofErr w:type="spellEnd"/>
          </w:p>
        </w:tc>
        <w:tc>
          <w:tcPr>
            <w:tcW w:w="0" w:type="auto"/>
            <w:tcBorders>
              <w:top w:val="nil"/>
              <w:left w:val="nil"/>
              <w:bottom w:val="nil"/>
              <w:right w:val="nil"/>
            </w:tcBorders>
            <w:shd w:val="clear" w:color="auto" w:fill="auto"/>
            <w:noWrap/>
            <w:vAlign w:val="bottom"/>
            <w:hideMark/>
          </w:tcPr>
          <w:p w14:paraId="767F2A2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202</w:t>
            </w:r>
          </w:p>
        </w:tc>
        <w:tc>
          <w:tcPr>
            <w:tcW w:w="0" w:type="auto"/>
            <w:tcBorders>
              <w:top w:val="nil"/>
              <w:left w:val="nil"/>
              <w:bottom w:val="nil"/>
              <w:right w:val="nil"/>
            </w:tcBorders>
            <w:shd w:val="clear" w:color="auto" w:fill="auto"/>
            <w:noWrap/>
            <w:vAlign w:val="bottom"/>
            <w:hideMark/>
          </w:tcPr>
          <w:p w14:paraId="0781C0F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157</w:t>
            </w:r>
          </w:p>
        </w:tc>
        <w:tc>
          <w:tcPr>
            <w:tcW w:w="0" w:type="auto"/>
            <w:tcBorders>
              <w:top w:val="nil"/>
              <w:left w:val="nil"/>
              <w:bottom w:val="nil"/>
              <w:right w:val="nil"/>
            </w:tcBorders>
            <w:shd w:val="clear" w:color="auto" w:fill="auto"/>
            <w:noWrap/>
            <w:vAlign w:val="bottom"/>
            <w:hideMark/>
          </w:tcPr>
          <w:p w14:paraId="17D380D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2802A72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10.32</w:t>
            </w:r>
          </w:p>
        </w:tc>
        <w:tc>
          <w:tcPr>
            <w:tcW w:w="0" w:type="auto"/>
            <w:tcBorders>
              <w:top w:val="nil"/>
              <w:left w:val="nil"/>
              <w:bottom w:val="nil"/>
              <w:right w:val="nil"/>
            </w:tcBorders>
            <w:shd w:val="clear" w:color="auto" w:fill="auto"/>
            <w:noWrap/>
            <w:vAlign w:val="bottom"/>
            <w:hideMark/>
          </w:tcPr>
          <w:p w14:paraId="08D33DF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7.73</w:t>
            </w:r>
          </w:p>
        </w:tc>
        <w:tc>
          <w:tcPr>
            <w:tcW w:w="0" w:type="auto"/>
            <w:tcBorders>
              <w:top w:val="nil"/>
              <w:left w:val="nil"/>
              <w:bottom w:val="nil"/>
              <w:right w:val="nil"/>
            </w:tcBorders>
            <w:shd w:val="clear" w:color="auto" w:fill="auto"/>
            <w:noWrap/>
            <w:vAlign w:val="bottom"/>
            <w:hideMark/>
          </w:tcPr>
          <w:p w14:paraId="2AFDDCF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6811CEB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35.06</w:t>
            </w:r>
          </w:p>
        </w:tc>
        <w:tc>
          <w:tcPr>
            <w:tcW w:w="0" w:type="auto"/>
            <w:tcBorders>
              <w:top w:val="nil"/>
              <w:left w:val="nil"/>
              <w:bottom w:val="nil"/>
              <w:right w:val="nil"/>
            </w:tcBorders>
            <w:shd w:val="clear" w:color="auto" w:fill="auto"/>
            <w:noWrap/>
            <w:vAlign w:val="bottom"/>
            <w:hideMark/>
          </w:tcPr>
          <w:p w14:paraId="0E33E8B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20.12</w:t>
            </w:r>
          </w:p>
        </w:tc>
        <w:tc>
          <w:tcPr>
            <w:tcW w:w="0" w:type="auto"/>
            <w:tcBorders>
              <w:top w:val="nil"/>
              <w:left w:val="nil"/>
              <w:bottom w:val="nil"/>
              <w:right w:val="nil"/>
            </w:tcBorders>
            <w:shd w:val="clear" w:color="auto" w:fill="auto"/>
            <w:noWrap/>
            <w:vAlign w:val="bottom"/>
            <w:hideMark/>
          </w:tcPr>
          <w:p w14:paraId="7872C09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6552549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27.14</w:t>
            </w:r>
          </w:p>
        </w:tc>
        <w:tc>
          <w:tcPr>
            <w:tcW w:w="0" w:type="auto"/>
            <w:tcBorders>
              <w:top w:val="nil"/>
              <w:left w:val="nil"/>
              <w:bottom w:val="nil"/>
              <w:right w:val="nil"/>
            </w:tcBorders>
            <w:shd w:val="clear" w:color="auto" w:fill="auto"/>
            <w:noWrap/>
            <w:vAlign w:val="bottom"/>
            <w:hideMark/>
          </w:tcPr>
          <w:p w14:paraId="2283FD7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26.74</w:t>
            </w:r>
          </w:p>
        </w:tc>
        <w:tc>
          <w:tcPr>
            <w:tcW w:w="0" w:type="auto"/>
            <w:tcBorders>
              <w:top w:val="nil"/>
              <w:left w:val="nil"/>
              <w:bottom w:val="nil"/>
              <w:right w:val="nil"/>
            </w:tcBorders>
            <w:shd w:val="clear" w:color="auto" w:fill="auto"/>
            <w:noWrap/>
            <w:vAlign w:val="bottom"/>
            <w:hideMark/>
          </w:tcPr>
          <w:p w14:paraId="3CA0C66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EE8526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13.17</w:t>
            </w:r>
          </w:p>
        </w:tc>
        <w:tc>
          <w:tcPr>
            <w:tcW w:w="0" w:type="auto"/>
            <w:tcBorders>
              <w:top w:val="nil"/>
              <w:left w:val="nil"/>
              <w:bottom w:val="nil"/>
              <w:right w:val="nil"/>
            </w:tcBorders>
            <w:shd w:val="clear" w:color="auto" w:fill="auto"/>
            <w:noWrap/>
            <w:vAlign w:val="bottom"/>
            <w:hideMark/>
          </w:tcPr>
          <w:p w14:paraId="31AD41D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5.51</w:t>
            </w:r>
          </w:p>
        </w:tc>
      </w:tr>
      <w:tr w:rsidR="00095768" w:rsidRPr="00095768" w14:paraId="3EB11F00" w14:textId="77777777" w:rsidTr="00095768">
        <w:trPr>
          <w:trHeight w:val="288"/>
        </w:trPr>
        <w:tc>
          <w:tcPr>
            <w:tcW w:w="0" w:type="auto"/>
            <w:tcBorders>
              <w:top w:val="nil"/>
              <w:left w:val="nil"/>
              <w:bottom w:val="nil"/>
              <w:right w:val="nil"/>
            </w:tcBorders>
            <w:shd w:val="clear" w:color="auto" w:fill="auto"/>
            <w:noWrap/>
            <w:vAlign w:val="bottom"/>
            <w:hideMark/>
          </w:tcPr>
          <w:p w14:paraId="0931494B"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Education</w:t>
            </w:r>
          </w:p>
        </w:tc>
        <w:tc>
          <w:tcPr>
            <w:tcW w:w="0" w:type="auto"/>
            <w:tcBorders>
              <w:top w:val="nil"/>
              <w:left w:val="nil"/>
              <w:bottom w:val="nil"/>
              <w:right w:val="nil"/>
            </w:tcBorders>
            <w:shd w:val="clear" w:color="auto" w:fill="auto"/>
            <w:noWrap/>
            <w:vAlign w:val="bottom"/>
            <w:hideMark/>
          </w:tcPr>
          <w:p w14:paraId="42D5852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149</w:t>
            </w:r>
          </w:p>
        </w:tc>
        <w:tc>
          <w:tcPr>
            <w:tcW w:w="0" w:type="auto"/>
            <w:tcBorders>
              <w:top w:val="nil"/>
              <w:left w:val="nil"/>
              <w:bottom w:val="nil"/>
              <w:right w:val="nil"/>
            </w:tcBorders>
            <w:shd w:val="clear" w:color="auto" w:fill="auto"/>
            <w:noWrap/>
            <w:vAlign w:val="bottom"/>
            <w:hideMark/>
          </w:tcPr>
          <w:p w14:paraId="1462313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167</w:t>
            </w:r>
          </w:p>
        </w:tc>
        <w:tc>
          <w:tcPr>
            <w:tcW w:w="0" w:type="auto"/>
            <w:tcBorders>
              <w:top w:val="nil"/>
              <w:left w:val="nil"/>
              <w:bottom w:val="nil"/>
              <w:right w:val="nil"/>
            </w:tcBorders>
            <w:shd w:val="clear" w:color="auto" w:fill="auto"/>
            <w:noWrap/>
            <w:vAlign w:val="bottom"/>
            <w:hideMark/>
          </w:tcPr>
          <w:p w14:paraId="1607C59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33499F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7.61</w:t>
            </w:r>
          </w:p>
        </w:tc>
        <w:tc>
          <w:tcPr>
            <w:tcW w:w="0" w:type="auto"/>
            <w:tcBorders>
              <w:top w:val="nil"/>
              <w:left w:val="nil"/>
              <w:bottom w:val="nil"/>
              <w:right w:val="nil"/>
            </w:tcBorders>
            <w:shd w:val="clear" w:color="auto" w:fill="auto"/>
            <w:noWrap/>
            <w:vAlign w:val="bottom"/>
            <w:hideMark/>
          </w:tcPr>
          <w:p w14:paraId="540427B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8.22</w:t>
            </w:r>
          </w:p>
        </w:tc>
        <w:tc>
          <w:tcPr>
            <w:tcW w:w="0" w:type="auto"/>
            <w:tcBorders>
              <w:top w:val="nil"/>
              <w:left w:val="nil"/>
              <w:bottom w:val="nil"/>
              <w:right w:val="nil"/>
            </w:tcBorders>
            <w:shd w:val="clear" w:color="auto" w:fill="auto"/>
            <w:noWrap/>
            <w:vAlign w:val="bottom"/>
            <w:hideMark/>
          </w:tcPr>
          <w:p w14:paraId="3E75A40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221772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26.67</w:t>
            </w:r>
          </w:p>
        </w:tc>
        <w:tc>
          <w:tcPr>
            <w:tcW w:w="0" w:type="auto"/>
            <w:tcBorders>
              <w:top w:val="nil"/>
              <w:left w:val="nil"/>
              <w:bottom w:val="nil"/>
              <w:right w:val="nil"/>
            </w:tcBorders>
            <w:shd w:val="clear" w:color="auto" w:fill="auto"/>
            <w:noWrap/>
            <w:vAlign w:val="bottom"/>
            <w:hideMark/>
          </w:tcPr>
          <w:p w14:paraId="18E412B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21.77</w:t>
            </w:r>
          </w:p>
        </w:tc>
        <w:tc>
          <w:tcPr>
            <w:tcW w:w="0" w:type="auto"/>
            <w:tcBorders>
              <w:top w:val="nil"/>
              <w:left w:val="nil"/>
              <w:bottom w:val="nil"/>
              <w:right w:val="nil"/>
            </w:tcBorders>
            <w:shd w:val="clear" w:color="auto" w:fill="auto"/>
            <w:noWrap/>
            <w:vAlign w:val="bottom"/>
            <w:hideMark/>
          </w:tcPr>
          <w:p w14:paraId="00AFD02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3D031F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20.19</w:t>
            </w:r>
          </w:p>
        </w:tc>
        <w:tc>
          <w:tcPr>
            <w:tcW w:w="0" w:type="auto"/>
            <w:tcBorders>
              <w:top w:val="nil"/>
              <w:left w:val="nil"/>
              <w:bottom w:val="nil"/>
              <w:right w:val="nil"/>
            </w:tcBorders>
            <w:shd w:val="clear" w:color="auto" w:fill="auto"/>
            <w:noWrap/>
            <w:vAlign w:val="bottom"/>
            <w:hideMark/>
          </w:tcPr>
          <w:p w14:paraId="1518CDF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31.60</w:t>
            </w:r>
          </w:p>
        </w:tc>
        <w:tc>
          <w:tcPr>
            <w:tcW w:w="0" w:type="auto"/>
            <w:tcBorders>
              <w:top w:val="nil"/>
              <w:left w:val="nil"/>
              <w:bottom w:val="nil"/>
              <w:right w:val="nil"/>
            </w:tcBorders>
            <w:shd w:val="clear" w:color="auto" w:fill="auto"/>
            <w:noWrap/>
            <w:vAlign w:val="bottom"/>
            <w:hideMark/>
          </w:tcPr>
          <w:p w14:paraId="73A2FD0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ED3115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7.22</w:t>
            </w:r>
          </w:p>
        </w:tc>
        <w:tc>
          <w:tcPr>
            <w:tcW w:w="0" w:type="auto"/>
            <w:tcBorders>
              <w:top w:val="nil"/>
              <w:left w:val="nil"/>
              <w:bottom w:val="nil"/>
              <w:right w:val="nil"/>
            </w:tcBorders>
            <w:shd w:val="clear" w:color="auto" w:fill="auto"/>
            <w:noWrap/>
            <w:vAlign w:val="bottom"/>
            <w:hideMark/>
          </w:tcPr>
          <w:p w14:paraId="124D689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6.92</w:t>
            </w:r>
          </w:p>
        </w:tc>
      </w:tr>
      <w:tr w:rsidR="00095768" w:rsidRPr="00095768" w14:paraId="539D35B0" w14:textId="77777777" w:rsidTr="00095768">
        <w:trPr>
          <w:trHeight w:val="288"/>
        </w:trPr>
        <w:tc>
          <w:tcPr>
            <w:tcW w:w="0" w:type="auto"/>
            <w:tcBorders>
              <w:top w:val="nil"/>
              <w:left w:val="nil"/>
              <w:bottom w:val="nil"/>
              <w:right w:val="nil"/>
            </w:tcBorders>
            <w:shd w:val="clear" w:color="auto" w:fill="auto"/>
            <w:noWrap/>
            <w:vAlign w:val="bottom"/>
            <w:hideMark/>
          </w:tcPr>
          <w:p w14:paraId="2BFF0FCE" w14:textId="77777777" w:rsidR="00095768" w:rsidRPr="00095768" w:rsidRDefault="00095768" w:rsidP="00095768">
            <w:pPr>
              <w:spacing w:after="0"/>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Social</w:t>
            </w:r>
          </w:p>
        </w:tc>
        <w:tc>
          <w:tcPr>
            <w:tcW w:w="0" w:type="auto"/>
            <w:tcBorders>
              <w:top w:val="nil"/>
              <w:left w:val="nil"/>
              <w:bottom w:val="nil"/>
              <w:right w:val="nil"/>
            </w:tcBorders>
            <w:shd w:val="clear" w:color="auto" w:fill="auto"/>
            <w:noWrap/>
            <w:vAlign w:val="bottom"/>
            <w:hideMark/>
          </w:tcPr>
          <w:p w14:paraId="730E0C47" w14:textId="77777777" w:rsidR="00095768" w:rsidRPr="00095768" w:rsidRDefault="00095768" w:rsidP="00095768">
            <w:pPr>
              <w:spacing w:after="0"/>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CF9F3B4"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C07409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D45D8F7"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BA15C1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856A875"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F8982F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973391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46219F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28C220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50250F1"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4E804B2"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408F4A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69EC29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r>
      <w:tr w:rsidR="00095768" w:rsidRPr="00095768" w14:paraId="349134E5" w14:textId="77777777" w:rsidTr="00095768">
        <w:trPr>
          <w:trHeight w:val="288"/>
        </w:trPr>
        <w:tc>
          <w:tcPr>
            <w:tcW w:w="0" w:type="auto"/>
            <w:tcBorders>
              <w:top w:val="nil"/>
              <w:left w:val="nil"/>
              <w:bottom w:val="nil"/>
              <w:right w:val="nil"/>
            </w:tcBorders>
            <w:shd w:val="clear" w:color="auto" w:fill="auto"/>
            <w:noWrap/>
            <w:vAlign w:val="bottom"/>
            <w:hideMark/>
          </w:tcPr>
          <w:p w14:paraId="5121784E"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proofErr w:type="spellStart"/>
            <w:r w:rsidRPr="00095768">
              <w:rPr>
                <w:rFonts w:ascii="Calibri" w:eastAsia="Times New Roman" w:hAnsi="Calibri" w:cs="Calibri"/>
                <w:i/>
                <w:iCs/>
                <w:color w:val="000000"/>
                <w:sz w:val="18"/>
                <w:szCs w:val="18"/>
                <w:lang w:val="fr-FR" w:eastAsia="fr-FR"/>
              </w:rPr>
              <w:t>Ceremonies</w:t>
            </w:r>
            <w:proofErr w:type="spellEnd"/>
          </w:p>
        </w:tc>
        <w:tc>
          <w:tcPr>
            <w:tcW w:w="0" w:type="auto"/>
            <w:tcBorders>
              <w:top w:val="nil"/>
              <w:left w:val="nil"/>
              <w:bottom w:val="nil"/>
              <w:right w:val="nil"/>
            </w:tcBorders>
            <w:shd w:val="clear" w:color="auto" w:fill="auto"/>
            <w:noWrap/>
            <w:vAlign w:val="bottom"/>
            <w:hideMark/>
          </w:tcPr>
          <w:p w14:paraId="0C111A3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69</w:t>
            </w:r>
          </w:p>
        </w:tc>
        <w:tc>
          <w:tcPr>
            <w:tcW w:w="0" w:type="auto"/>
            <w:tcBorders>
              <w:top w:val="nil"/>
              <w:left w:val="nil"/>
              <w:bottom w:val="nil"/>
              <w:right w:val="nil"/>
            </w:tcBorders>
            <w:shd w:val="clear" w:color="auto" w:fill="auto"/>
            <w:noWrap/>
            <w:vAlign w:val="bottom"/>
            <w:hideMark/>
          </w:tcPr>
          <w:p w14:paraId="072837B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127</w:t>
            </w:r>
          </w:p>
        </w:tc>
        <w:tc>
          <w:tcPr>
            <w:tcW w:w="0" w:type="auto"/>
            <w:tcBorders>
              <w:top w:val="nil"/>
              <w:left w:val="nil"/>
              <w:bottom w:val="nil"/>
              <w:right w:val="nil"/>
            </w:tcBorders>
            <w:shd w:val="clear" w:color="auto" w:fill="auto"/>
            <w:noWrap/>
            <w:vAlign w:val="bottom"/>
            <w:hideMark/>
          </w:tcPr>
          <w:p w14:paraId="2CEEC2C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EB3D8F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3.53</w:t>
            </w:r>
          </w:p>
        </w:tc>
        <w:tc>
          <w:tcPr>
            <w:tcW w:w="0" w:type="auto"/>
            <w:tcBorders>
              <w:top w:val="nil"/>
              <w:left w:val="nil"/>
              <w:bottom w:val="nil"/>
              <w:right w:val="nil"/>
            </w:tcBorders>
            <w:shd w:val="clear" w:color="auto" w:fill="auto"/>
            <w:noWrap/>
            <w:vAlign w:val="bottom"/>
            <w:hideMark/>
          </w:tcPr>
          <w:p w14:paraId="3498235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6.25</w:t>
            </w:r>
          </w:p>
        </w:tc>
        <w:tc>
          <w:tcPr>
            <w:tcW w:w="0" w:type="auto"/>
            <w:tcBorders>
              <w:top w:val="nil"/>
              <w:left w:val="nil"/>
              <w:bottom w:val="nil"/>
              <w:right w:val="nil"/>
            </w:tcBorders>
            <w:shd w:val="clear" w:color="auto" w:fill="auto"/>
            <w:noWrap/>
            <w:vAlign w:val="bottom"/>
            <w:hideMark/>
          </w:tcPr>
          <w:p w14:paraId="4B8FF09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6C0D5E4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15.56</w:t>
            </w:r>
          </w:p>
        </w:tc>
        <w:tc>
          <w:tcPr>
            <w:tcW w:w="0" w:type="auto"/>
            <w:tcBorders>
              <w:top w:val="nil"/>
              <w:left w:val="nil"/>
              <w:bottom w:val="nil"/>
              <w:right w:val="nil"/>
            </w:tcBorders>
            <w:shd w:val="clear" w:color="auto" w:fill="auto"/>
            <w:noWrap/>
            <w:vAlign w:val="bottom"/>
            <w:hideMark/>
          </w:tcPr>
          <w:p w14:paraId="57E6443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20.53</w:t>
            </w:r>
          </w:p>
        </w:tc>
        <w:tc>
          <w:tcPr>
            <w:tcW w:w="0" w:type="auto"/>
            <w:tcBorders>
              <w:top w:val="nil"/>
              <w:left w:val="nil"/>
              <w:bottom w:val="nil"/>
              <w:right w:val="nil"/>
            </w:tcBorders>
            <w:shd w:val="clear" w:color="auto" w:fill="auto"/>
            <w:noWrap/>
            <w:vAlign w:val="bottom"/>
            <w:hideMark/>
          </w:tcPr>
          <w:p w14:paraId="37D5144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0478D20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13.01</w:t>
            </w:r>
          </w:p>
        </w:tc>
        <w:tc>
          <w:tcPr>
            <w:tcW w:w="0" w:type="auto"/>
            <w:tcBorders>
              <w:top w:val="nil"/>
              <w:left w:val="nil"/>
              <w:bottom w:val="nil"/>
              <w:right w:val="nil"/>
            </w:tcBorders>
            <w:shd w:val="clear" w:color="auto" w:fill="auto"/>
            <w:noWrap/>
            <w:vAlign w:val="bottom"/>
            <w:hideMark/>
          </w:tcPr>
          <w:p w14:paraId="2A1CFF6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21.24</w:t>
            </w:r>
          </w:p>
        </w:tc>
        <w:tc>
          <w:tcPr>
            <w:tcW w:w="0" w:type="auto"/>
            <w:tcBorders>
              <w:top w:val="nil"/>
              <w:left w:val="nil"/>
              <w:bottom w:val="nil"/>
              <w:right w:val="nil"/>
            </w:tcBorders>
            <w:shd w:val="clear" w:color="auto" w:fill="auto"/>
            <w:noWrap/>
            <w:vAlign w:val="bottom"/>
            <w:hideMark/>
          </w:tcPr>
          <w:p w14:paraId="357FBFA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00E764D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2.16</w:t>
            </w:r>
          </w:p>
        </w:tc>
        <w:tc>
          <w:tcPr>
            <w:tcW w:w="0" w:type="auto"/>
            <w:tcBorders>
              <w:top w:val="nil"/>
              <w:left w:val="nil"/>
              <w:bottom w:val="nil"/>
              <w:right w:val="nil"/>
            </w:tcBorders>
            <w:shd w:val="clear" w:color="auto" w:fill="auto"/>
            <w:noWrap/>
            <w:vAlign w:val="bottom"/>
            <w:hideMark/>
          </w:tcPr>
          <w:p w14:paraId="4813A44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3.54</w:t>
            </w:r>
          </w:p>
        </w:tc>
      </w:tr>
      <w:tr w:rsidR="00095768" w:rsidRPr="00095768" w14:paraId="784341B5" w14:textId="77777777" w:rsidTr="00095768">
        <w:trPr>
          <w:trHeight w:val="288"/>
        </w:trPr>
        <w:tc>
          <w:tcPr>
            <w:tcW w:w="0" w:type="auto"/>
            <w:tcBorders>
              <w:top w:val="nil"/>
              <w:left w:val="nil"/>
              <w:bottom w:val="nil"/>
              <w:right w:val="nil"/>
            </w:tcBorders>
            <w:shd w:val="clear" w:color="auto" w:fill="auto"/>
            <w:noWrap/>
            <w:vAlign w:val="bottom"/>
            <w:hideMark/>
          </w:tcPr>
          <w:p w14:paraId="41A70DFB"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proofErr w:type="spellStart"/>
            <w:r w:rsidRPr="00095768">
              <w:rPr>
                <w:rFonts w:ascii="Calibri" w:eastAsia="Times New Roman" w:hAnsi="Calibri" w:cs="Calibri"/>
                <w:i/>
                <w:iCs/>
                <w:color w:val="000000"/>
                <w:sz w:val="18"/>
                <w:szCs w:val="18"/>
                <w:lang w:val="fr-FR" w:eastAsia="fr-FR"/>
              </w:rPr>
              <w:t>Marriage</w:t>
            </w:r>
            <w:proofErr w:type="spellEnd"/>
          </w:p>
        </w:tc>
        <w:tc>
          <w:tcPr>
            <w:tcW w:w="0" w:type="auto"/>
            <w:tcBorders>
              <w:top w:val="nil"/>
              <w:left w:val="nil"/>
              <w:bottom w:val="nil"/>
              <w:right w:val="nil"/>
            </w:tcBorders>
            <w:shd w:val="clear" w:color="auto" w:fill="auto"/>
            <w:noWrap/>
            <w:vAlign w:val="bottom"/>
            <w:hideMark/>
          </w:tcPr>
          <w:p w14:paraId="40D0396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137</w:t>
            </w:r>
          </w:p>
        </w:tc>
        <w:tc>
          <w:tcPr>
            <w:tcW w:w="0" w:type="auto"/>
            <w:tcBorders>
              <w:top w:val="nil"/>
              <w:left w:val="nil"/>
              <w:bottom w:val="nil"/>
              <w:right w:val="nil"/>
            </w:tcBorders>
            <w:shd w:val="clear" w:color="auto" w:fill="auto"/>
            <w:noWrap/>
            <w:vAlign w:val="bottom"/>
            <w:hideMark/>
          </w:tcPr>
          <w:p w14:paraId="0F3677B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317</w:t>
            </w:r>
          </w:p>
        </w:tc>
        <w:tc>
          <w:tcPr>
            <w:tcW w:w="0" w:type="auto"/>
            <w:tcBorders>
              <w:top w:val="nil"/>
              <w:left w:val="nil"/>
              <w:bottom w:val="nil"/>
              <w:right w:val="nil"/>
            </w:tcBorders>
            <w:shd w:val="clear" w:color="auto" w:fill="auto"/>
            <w:noWrap/>
            <w:vAlign w:val="bottom"/>
            <w:hideMark/>
          </w:tcPr>
          <w:p w14:paraId="379A63E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8F8051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7.00</w:t>
            </w:r>
          </w:p>
        </w:tc>
        <w:tc>
          <w:tcPr>
            <w:tcW w:w="0" w:type="auto"/>
            <w:tcBorders>
              <w:top w:val="nil"/>
              <w:left w:val="nil"/>
              <w:bottom w:val="nil"/>
              <w:right w:val="nil"/>
            </w:tcBorders>
            <w:shd w:val="clear" w:color="auto" w:fill="auto"/>
            <w:noWrap/>
            <w:vAlign w:val="bottom"/>
            <w:hideMark/>
          </w:tcPr>
          <w:p w14:paraId="1DE716B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15.61</w:t>
            </w:r>
          </w:p>
        </w:tc>
        <w:tc>
          <w:tcPr>
            <w:tcW w:w="0" w:type="auto"/>
            <w:tcBorders>
              <w:top w:val="nil"/>
              <w:left w:val="nil"/>
              <w:bottom w:val="nil"/>
              <w:right w:val="nil"/>
            </w:tcBorders>
            <w:shd w:val="clear" w:color="auto" w:fill="auto"/>
            <w:noWrap/>
            <w:vAlign w:val="bottom"/>
            <w:hideMark/>
          </w:tcPr>
          <w:p w14:paraId="455F7DD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B6C6C2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22.72</w:t>
            </w:r>
          </w:p>
        </w:tc>
        <w:tc>
          <w:tcPr>
            <w:tcW w:w="0" w:type="auto"/>
            <w:tcBorders>
              <w:top w:val="nil"/>
              <w:left w:val="nil"/>
              <w:bottom w:val="nil"/>
              <w:right w:val="nil"/>
            </w:tcBorders>
            <w:shd w:val="clear" w:color="auto" w:fill="auto"/>
            <w:noWrap/>
            <w:vAlign w:val="bottom"/>
            <w:hideMark/>
          </w:tcPr>
          <w:p w14:paraId="097D674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26.69</w:t>
            </w:r>
          </w:p>
        </w:tc>
        <w:tc>
          <w:tcPr>
            <w:tcW w:w="0" w:type="auto"/>
            <w:tcBorders>
              <w:top w:val="nil"/>
              <w:left w:val="nil"/>
              <w:bottom w:val="nil"/>
              <w:right w:val="nil"/>
            </w:tcBorders>
            <w:shd w:val="clear" w:color="auto" w:fill="auto"/>
            <w:noWrap/>
            <w:vAlign w:val="bottom"/>
            <w:hideMark/>
          </w:tcPr>
          <w:p w14:paraId="2AF03D0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D610EE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33.20</w:t>
            </w:r>
          </w:p>
        </w:tc>
        <w:tc>
          <w:tcPr>
            <w:tcW w:w="0" w:type="auto"/>
            <w:tcBorders>
              <w:top w:val="nil"/>
              <w:left w:val="nil"/>
              <w:bottom w:val="nil"/>
              <w:right w:val="nil"/>
            </w:tcBorders>
            <w:shd w:val="clear" w:color="auto" w:fill="auto"/>
            <w:noWrap/>
            <w:vAlign w:val="bottom"/>
            <w:hideMark/>
          </w:tcPr>
          <w:p w14:paraId="6F858EF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53.73</w:t>
            </w:r>
          </w:p>
        </w:tc>
        <w:tc>
          <w:tcPr>
            <w:tcW w:w="0" w:type="auto"/>
            <w:tcBorders>
              <w:top w:val="nil"/>
              <w:left w:val="nil"/>
              <w:bottom w:val="nil"/>
              <w:right w:val="nil"/>
            </w:tcBorders>
            <w:shd w:val="clear" w:color="auto" w:fill="auto"/>
            <w:noWrap/>
            <w:vAlign w:val="bottom"/>
            <w:hideMark/>
          </w:tcPr>
          <w:p w14:paraId="71CA1B1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17DB29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10.92</w:t>
            </w:r>
          </w:p>
        </w:tc>
        <w:tc>
          <w:tcPr>
            <w:tcW w:w="0" w:type="auto"/>
            <w:tcBorders>
              <w:top w:val="nil"/>
              <w:left w:val="nil"/>
              <w:bottom w:val="nil"/>
              <w:right w:val="nil"/>
            </w:tcBorders>
            <w:shd w:val="clear" w:color="auto" w:fill="auto"/>
            <w:noWrap/>
            <w:vAlign w:val="bottom"/>
            <w:hideMark/>
          </w:tcPr>
          <w:p w14:paraId="7E39537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22.34</w:t>
            </w:r>
          </w:p>
        </w:tc>
      </w:tr>
      <w:tr w:rsidR="00095768" w:rsidRPr="00095768" w14:paraId="6FF72BF0" w14:textId="77777777" w:rsidTr="00095768">
        <w:trPr>
          <w:trHeight w:val="288"/>
        </w:trPr>
        <w:tc>
          <w:tcPr>
            <w:tcW w:w="0" w:type="auto"/>
            <w:tcBorders>
              <w:top w:val="nil"/>
              <w:left w:val="nil"/>
              <w:bottom w:val="nil"/>
              <w:right w:val="nil"/>
            </w:tcBorders>
            <w:shd w:val="clear" w:color="auto" w:fill="auto"/>
            <w:noWrap/>
            <w:vAlign w:val="bottom"/>
            <w:hideMark/>
          </w:tcPr>
          <w:p w14:paraId="473CC25A"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proofErr w:type="spellStart"/>
            <w:r w:rsidRPr="00095768">
              <w:rPr>
                <w:rFonts w:ascii="Calibri" w:eastAsia="Times New Roman" w:hAnsi="Calibri" w:cs="Calibri"/>
                <w:i/>
                <w:iCs/>
                <w:color w:val="000000"/>
                <w:sz w:val="18"/>
                <w:szCs w:val="18"/>
                <w:lang w:val="fr-FR" w:eastAsia="fr-FR"/>
              </w:rPr>
              <w:t>Death</w:t>
            </w:r>
            <w:proofErr w:type="spellEnd"/>
          </w:p>
        </w:tc>
        <w:tc>
          <w:tcPr>
            <w:tcW w:w="0" w:type="auto"/>
            <w:tcBorders>
              <w:top w:val="nil"/>
              <w:left w:val="nil"/>
              <w:bottom w:val="nil"/>
              <w:right w:val="nil"/>
            </w:tcBorders>
            <w:shd w:val="clear" w:color="auto" w:fill="auto"/>
            <w:noWrap/>
            <w:vAlign w:val="bottom"/>
            <w:hideMark/>
          </w:tcPr>
          <w:p w14:paraId="00F8CB7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17</w:t>
            </w:r>
          </w:p>
        </w:tc>
        <w:tc>
          <w:tcPr>
            <w:tcW w:w="0" w:type="auto"/>
            <w:tcBorders>
              <w:top w:val="nil"/>
              <w:left w:val="nil"/>
              <w:bottom w:val="nil"/>
              <w:right w:val="nil"/>
            </w:tcBorders>
            <w:shd w:val="clear" w:color="auto" w:fill="auto"/>
            <w:noWrap/>
            <w:vAlign w:val="bottom"/>
            <w:hideMark/>
          </w:tcPr>
          <w:p w14:paraId="63A1723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26</w:t>
            </w:r>
          </w:p>
        </w:tc>
        <w:tc>
          <w:tcPr>
            <w:tcW w:w="0" w:type="auto"/>
            <w:tcBorders>
              <w:top w:val="nil"/>
              <w:left w:val="nil"/>
              <w:bottom w:val="nil"/>
              <w:right w:val="nil"/>
            </w:tcBorders>
            <w:shd w:val="clear" w:color="auto" w:fill="auto"/>
            <w:noWrap/>
            <w:vAlign w:val="bottom"/>
            <w:hideMark/>
          </w:tcPr>
          <w:p w14:paraId="43A84CE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2A9A13F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0.87</w:t>
            </w:r>
          </w:p>
        </w:tc>
        <w:tc>
          <w:tcPr>
            <w:tcW w:w="0" w:type="auto"/>
            <w:tcBorders>
              <w:top w:val="nil"/>
              <w:left w:val="nil"/>
              <w:bottom w:val="nil"/>
              <w:right w:val="nil"/>
            </w:tcBorders>
            <w:shd w:val="clear" w:color="auto" w:fill="auto"/>
            <w:noWrap/>
            <w:vAlign w:val="bottom"/>
            <w:hideMark/>
          </w:tcPr>
          <w:p w14:paraId="73FC44A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1.28</w:t>
            </w:r>
          </w:p>
        </w:tc>
        <w:tc>
          <w:tcPr>
            <w:tcW w:w="0" w:type="auto"/>
            <w:tcBorders>
              <w:top w:val="nil"/>
              <w:left w:val="nil"/>
              <w:bottom w:val="nil"/>
              <w:right w:val="nil"/>
            </w:tcBorders>
            <w:shd w:val="clear" w:color="auto" w:fill="auto"/>
            <w:noWrap/>
            <w:vAlign w:val="bottom"/>
            <w:hideMark/>
          </w:tcPr>
          <w:p w14:paraId="2FE3237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7D49A3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3.70</w:t>
            </w:r>
          </w:p>
        </w:tc>
        <w:tc>
          <w:tcPr>
            <w:tcW w:w="0" w:type="auto"/>
            <w:tcBorders>
              <w:top w:val="nil"/>
              <w:left w:val="nil"/>
              <w:bottom w:val="nil"/>
              <w:right w:val="nil"/>
            </w:tcBorders>
            <w:shd w:val="clear" w:color="auto" w:fill="auto"/>
            <w:noWrap/>
            <w:vAlign w:val="bottom"/>
            <w:hideMark/>
          </w:tcPr>
          <w:p w14:paraId="722D383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4.52</w:t>
            </w:r>
          </w:p>
        </w:tc>
        <w:tc>
          <w:tcPr>
            <w:tcW w:w="0" w:type="auto"/>
            <w:tcBorders>
              <w:top w:val="nil"/>
              <w:left w:val="nil"/>
              <w:bottom w:val="nil"/>
              <w:right w:val="nil"/>
            </w:tcBorders>
            <w:shd w:val="clear" w:color="auto" w:fill="auto"/>
            <w:noWrap/>
            <w:vAlign w:val="bottom"/>
            <w:hideMark/>
          </w:tcPr>
          <w:p w14:paraId="4BD1DEE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D61572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14.41</w:t>
            </w:r>
          </w:p>
        </w:tc>
        <w:tc>
          <w:tcPr>
            <w:tcW w:w="0" w:type="auto"/>
            <w:tcBorders>
              <w:top w:val="nil"/>
              <w:left w:val="nil"/>
              <w:bottom w:val="nil"/>
              <w:right w:val="nil"/>
            </w:tcBorders>
            <w:shd w:val="clear" w:color="auto" w:fill="auto"/>
            <w:noWrap/>
            <w:vAlign w:val="bottom"/>
            <w:hideMark/>
          </w:tcPr>
          <w:p w14:paraId="2A594A1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14.62</w:t>
            </w:r>
          </w:p>
        </w:tc>
        <w:tc>
          <w:tcPr>
            <w:tcW w:w="0" w:type="auto"/>
            <w:tcBorders>
              <w:top w:val="nil"/>
              <w:left w:val="nil"/>
              <w:bottom w:val="nil"/>
              <w:right w:val="nil"/>
            </w:tcBorders>
            <w:shd w:val="clear" w:color="auto" w:fill="auto"/>
            <w:noWrap/>
            <w:vAlign w:val="bottom"/>
            <w:hideMark/>
          </w:tcPr>
          <w:p w14:paraId="3E7BFC7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5905BB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0.59</w:t>
            </w:r>
          </w:p>
        </w:tc>
        <w:tc>
          <w:tcPr>
            <w:tcW w:w="0" w:type="auto"/>
            <w:tcBorders>
              <w:top w:val="nil"/>
              <w:left w:val="nil"/>
              <w:bottom w:val="nil"/>
              <w:right w:val="nil"/>
            </w:tcBorders>
            <w:shd w:val="clear" w:color="auto" w:fill="auto"/>
            <w:noWrap/>
            <w:vAlign w:val="bottom"/>
            <w:hideMark/>
          </w:tcPr>
          <w:p w14:paraId="7E1B14B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0.50</w:t>
            </w:r>
          </w:p>
        </w:tc>
      </w:tr>
      <w:tr w:rsidR="00095768" w:rsidRPr="00095768" w14:paraId="21A156A9" w14:textId="77777777" w:rsidTr="00095768">
        <w:trPr>
          <w:trHeight w:val="288"/>
        </w:trPr>
        <w:tc>
          <w:tcPr>
            <w:tcW w:w="0" w:type="auto"/>
            <w:tcBorders>
              <w:top w:val="nil"/>
              <w:left w:val="nil"/>
              <w:bottom w:val="nil"/>
              <w:right w:val="nil"/>
            </w:tcBorders>
            <w:shd w:val="clear" w:color="auto" w:fill="auto"/>
            <w:noWrap/>
            <w:vAlign w:val="bottom"/>
            <w:hideMark/>
          </w:tcPr>
          <w:p w14:paraId="785D8680" w14:textId="77777777" w:rsidR="00095768" w:rsidRPr="00095768" w:rsidRDefault="00095768" w:rsidP="00095768">
            <w:pPr>
              <w:spacing w:after="0"/>
              <w:rPr>
                <w:rFonts w:ascii="Calibri" w:eastAsia="Times New Roman" w:hAnsi="Calibri" w:cs="Calibri"/>
                <w:color w:val="000000"/>
                <w:sz w:val="18"/>
                <w:szCs w:val="18"/>
                <w:lang w:val="fr-FR" w:eastAsia="fr-FR"/>
              </w:rPr>
            </w:pPr>
            <w:proofErr w:type="spellStart"/>
            <w:r w:rsidRPr="00095768">
              <w:rPr>
                <w:rFonts w:ascii="Calibri" w:eastAsia="Times New Roman" w:hAnsi="Calibri" w:cs="Calibri"/>
                <w:color w:val="000000"/>
                <w:sz w:val="18"/>
                <w:szCs w:val="18"/>
                <w:lang w:val="fr-FR" w:eastAsia="fr-FR"/>
              </w:rPr>
              <w:t>Housing</w:t>
            </w:r>
            <w:proofErr w:type="spellEnd"/>
          </w:p>
        </w:tc>
        <w:tc>
          <w:tcPr>
            <w:tcW w:w="0" w:type="auto"/>
            <w:tcBorders>
              <w:top w:val="nil"/>
              <w:left w:val="nil"/>
              <w:bottom w:val="nil"/>
              <w:right w:val="nil"/>
            </w:tcBorders>
            <w:shd w:val="clear" w:color="auto" w:fill="auto"/>
            <w:noWrap/>
            <w:vAlign w:val="bottom"/>
            <w:hideMark/>
          </w:tcPr>
          <w:p w14:paraId="36FDE77E" w14:textId="77777777" w:rsidR="00095768" w:rsidRPr="00095768" w:rsidRDefault="00095768" w:rsidP="00095768">
            <w:pPr>
              <w:spacing w:after="0"/>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5A6A484"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5022A55"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F1EB234"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7A75EFD"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AF3F18B"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B862EF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5C4D941"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BCF6183"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DDCC2B2"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925F3E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00B3C44"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A13B187"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08E640E"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r>
      <w:tr w:rsidR="00095768" w:rsidRPr="00095768" w14:paraId="62E34445" w14:textId="77777777" w:rsidTr="00095768">
        <w:trPr>
          <w:trHeight w:val="288"/>
        </w:trPr>
        <w:tc>
          <w:tcPr>
            <w:tcW w:w="0" w:type="auto"/>
            <w:tcBorders>
              <w:top w:val="nil"/>
              <w:left w:val="nil"/>
              <w:bottom w:val="nil"/>
              <w:right w:val="nil"/>
            </w:tcBorders>
            <w:shd w:val="clear" w:color="auto" w:fill="auto"/>
            <w:noWrap/>
            <w:vAlign w:val="bottom"/>
            <w:hideMark/>
          </w:tcPr>
          <w:p w14:paraId="458668B0"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 xml:space="preserve">House </w:t>
            </w:r>
            <w:proofErr w:type="spellStart"/>
            <w:r w:rsidRPr="00095768">
              <w:rPr>
                <w:rFonts w:ascii="Calibri" w:eastAsia="Times New Roman" w:hAnsi="Calibri" w:cs="Calibri"/>
                <w:i/>
                <w:iCs/>
                <w:color w:val="000000"/>
                <w:sz w:val="18"/>
                <w:szCs w:val="18"/>
                <w:lang w:val="fr-FR" w:eastAsia="fr-FR"/>
              </w:rPr>
              <w:t>exp</w:t>
            </w:r>
            <w:proofErr w:type="spellEnd"/>
          </w:p>
        </w:tc>
        <w:tc>
          <w:tcPr>
            <w:tcW w:w="0" w:type="auto"/>
            <w:tcBorders>
              <w:top w:val="nil"/>
              <w:left w:val="nil"/>
              <w:bottom w:val="nil"/>
              <w:right w:val="nil"/>
            </w:tcBorders>
            <w:shd w:val="clear" w:color="auto" w:fill="auto"/>
            <w:noWrap/>
            <w:vAlign w:val="bottom"/>
            <w:hideMark/>
          </w:tcPr>
          <w:p w14:paraId="506AF2D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188</w:t>
            </w:r>
          </w:p>
        </w:tc>
        <w:tc>
          <w:tcPr>
            <w:tcW w:w="0" w:type="auto"/>
            <w:tcBorders>
              <w:top w:val="nil"/>
              <w:left w:val="nil"/>
              <w:bottom w:val="nil"/>
              <w:right w:val="nil"/>
            </w:tcBorders>
            <w:shd w:val="clear" w:color="auto" w:fill="auto"/>
            <w:noWrap/>
            <w:vAlign w:val="bottom"/>
            <w:hideMark/>
          </w:tcPr>
          <w:p w14:paraId="31F3FAB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271</w:t>
            </w:r>
          </w:p>
        </w:tc>
        <w:tc>
          <w:tcPr>
            <w:tcW w:w="0" w:type="auto"/>
            <w:tcBorders>
              <w:top w:val="nil"/>
              <w:left w:val="nil"/>
              <w:bottom w:val="nil"/>
              <w:right w:val="nil"/>
            </w:tcBorders>
            <w:shd w:val="clear" w:color="auto" w:fill="auto"/>
            <w:noWrap/>
            <w:vAlign w:val="bottom"/>
            <w:hideMark/>
          </w:tcPr>
          <w:p w14:paraId="77E58CE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C5A642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9.61</w:t>
            </w:r>
          </w:p>
        </w:tc>
        <w:tc>
          <w:tcPr>
            <w:tcW w:w="0" w:type="auto"/>
            <w:tcBorders>
              <w:top w:val="nil"/>
              <w:left w:val="nil"/>
              <w:bottom w:val="nil"/>
              <w:right w:val="nil"/>
            </w:tcBorders>
            <w:shd w:val="clear" w:color="auto" w:fill="auto"/>
            <w:noWrap/>
            <w:vAlign w:val="bottom"/>
            <w:hideMark/>
          </w:tcPr>
          <w:p w14:paraId="72C068C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13.34</w:t>
            </w:r>
          </w:p>
        </w:tc>
        <w:tc>
          <w:tcPr>
            <w:tcW w:w="0" w:type="auto"/>
            <w:tcBorders>
              <w:top w:val="nil"/>
              <w:left w:val="nil"/>
              <w:bottom w:val="nil"/>
              <w:right w:val="nil"/>
            </w:tcBorders>
            <w:shd w:val="clear" w:color="auto" w:fill="auto"/>
            <w:noWrap/>
            <w:vAlign w:val="bottom"/>
            <w:hideMark/>
          </w:tcPr>
          <w:p w14:paraId="5A819BB9"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93FEFD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29.38</w:t>
            </w:r>
          </w:p>
        </w:tc>
        <w:tc>
          <w:tcPr>
            <w:tcW w:w="0" w:type="auto"/>
            <w:tcBorders>
              <w:top w:val="nil"/>
              <w:left w:val="nil"/>
              <w:bottom w:val="nil"/>
              <w:right w:val="nil"/>
            </w:tcBorders>
            <w:shd w:val="clear" w:color="auto" w:fill="auto"/>
            <w:noWrap/>
            <w:vAlign w:val="bottom"/>
            <w:hideMark/>
          </w:tcPr>
          <w:p w14:paraId="64E0A03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28.13</w:t>
            </w:r>
          </w:p>
        </w:tc>
        <w:tc>
          <w:tcPr>
            <w:tcW w:w="0" w:type="auto"/>
            <w:tcBorders>
              <w:top w:val="nil"/>
              <w:left w:val="nil"/>
              <w:bottom w:val="nil"/>
              <w:right w:val="nil"/>
            </w:tcBorders>
            <w:shd w:val="clear" w:color="auto" w:fill="auto"/>
            <w:noWrap/>
            <w:vAlign w:val="bottom"/>
            <w:hideMark/>
          </w:tcPr>
          <w:p w14:paraId="1870002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1BC3AB2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29.08</w:t>
            </w:r>
          </w:p>
        </w:tc>
        <w:tc>
          <w:tcPr>
            <w:tcW w:w="0" w:type="auto"/>
            <w:tcBorders>
              <w:top w:val="nil"/>
              <w:left w:val="nil"/>
              <w:bottom w:val="nil"/>
              <w:right w:val="nil"/>
            </w:tcBorders>
            <w:shd w:val="clear" w:color="auto" w:fill="auto"/>
            <w:noWrap/>
            <w:vAlign w:val="bottom"/>
            <w:hideMark/>
          </w:tcPr>
          <w:p w14:paraId="3C897A6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39.64</w:t>
            </w:r>
          </w:p>
        </w:tc>
        <w:tc>
          <w:tcPr>
            <w:tcW w:w="0" w:type="auto"/>
            <w:tcBorders>
              <w:top w:val="nil"/>
              <w:left w:val="nil"/>
              <w:bottom w:val="nil"/>
              <w:right w:val="nil"/>
            </w:tcBorders>
            <w:shd w:val="clear" w:color="auto" w:fill="auto"/>
            <w:noWrap/>
            <w:vAlign w:val="bottom"/>
            <w:hideMark/>
          </w:tcPr>
          <w:p w14:paraId="012920E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21DFF7D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13.13</w:t>
            </w:r>
          </w:p>
        </w:tc>
        <w:tc>
          <w:tcPr>
            <w:tcW w:w="0" w:type="auto"/>
            <w:tcBorders>
              <w:top w:val="nil"/>
              <w:left w:val="nil"/>
              <w:bottom w:val="nil"/>
              <w:right w:val="nil"/>
            </w:tcBorders>
            <w:shd w:val="clear" w:color="auto" w:fill="auto"/>
            <w:noWrap/>
            <w:vAlign w:val="bottom"/>
            <w:hideMark/>
          </w:tcPr>
          <w:p w14:paraId="2833B63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14.09</w:t>
            </w:r>
          </w:p>
        </w:tc>
      </w:tr>
      <w:tr w:rsidR="00095768" w:rsidRPr="00095768" w14:paraId="543ECC6D" w14:textId="77777777" w:rsidTr="00095768">
        <w:trPr>
          <w:trHeight w:val="288"/>
        </w:trPr>
        <w:tc>
          <w:tcPr>
            <w:tcW w:w="0" w:type="auto"/>
            <w:tcBorders>
              <w:top w:val="nil"/>
              <w:left w:val="nil"/>
              <w:bottom w:val="nil"/>
              <w:right w:val="nil"/>
            </w:tcBorders>
            <w:shd w:val="clear" w:color="auto" w:fill="auto"/>
            <w:noWrap/>
            <w:vAlign w:val="bottom"/>
            <w:hideMark/>
          </w:tcPr>
          <w:p w14:paraId="43BF0829" w14:textId="77777777" w:rsidR="00095768" w:rsidRPr="00095768" w:rsidRDefault="00095768" w:rsidP="00095768">
            <w:pPr>
              <w:spacing w:after="0"/>
              <w:rPr>
                <w:rFonts w:ascii="Calibri" w:eastAsia="Times New Roman" w:hAnsi="Calibri" w:cs="Calibri"/>
                <w:color w:val="000000"/>
                <w:sz w:val="18"/>
                <w:szCs w:val="18"/>
                <w:lang w:val="fr-FR" w:eastAsia="fr-FR"/>
              </w:rPr>
            </w:pPr>
            <w:proofErr w:type="spellStart"/>
            <w:r w:rsidRPr="00095768">
              <w:rPr>
                <w:rFonts w:ascii="Calibri" w:eastAsia="Times New Roman" w:hAnsi="Calibri" w:cs="Calibri"/>
                <w:color w:val="000000"/>
                <w:sz w:val="18"/>
                <w:szCs w:val="18"/>
                <w:lang w:val="fr-FR" w:eastAsia="fr-FR"/>
              </w:rPr>
              <w:t>Other</w:t>
            </w:r>
            <w:proofErr w:type="spellEnd"/>
          </w:p>
        </w:tc>
        <w:tc>
          <w:tcPr>
            <w:tcW w:w="0" w:type="auto"/>
            <w:tcBorders>
              <w:top w:val="nil"/>
              <w:left w:val="nil"/>
              <w:bottom w:val="nil"/>
              <w:right w:val="nil"/>
            </w:tcBorders>
            <w:shd w:val="clear" w:color="auto" w:fill="auto"/>
            <w:noWrap/>
            <w:vAlign w:val="bottom"/>
            <w:hideMark/>
          </w:tcPr>
          <w:p w14:paraId="12A8DD12" w14:textId="77777777" w:rsidR="00095768" w:rsidRPr="00095768" w:rsidRDefault="00095768" w:rsidP="00095768">
            <w:pPr>
              <w:spacing w:after="0"/>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335BCA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F93269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B3C331D"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F81CBA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16ECA11"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24AC671"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9ABB5D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B6BDC4F"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3EFAF6C"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D298B4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DD1738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74A774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ECEF2A1"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r>
      <w:tr w:rsidR="00095768" w:rsidRPr="00095768" w14:paraId="2C45A363" w14:textId="77777777" w:rsidTr="00095768">
        <w:trPr>
          <w:trHeight w:val="288"/>
        </w:trPr>
        <w:tc>
          <w:tcPr>
            <w:tcW w:w="0" w:type="auto"/>
            <w:tcBorders>
              <w:top w:val="nil"/>
              <w:left w:val="nil"/>
              <w:bottom w:val="nil"/>
              <w:right w:val="nil"/>
            </w:tcBorders>
            <w:shd w:val="clear" w:color="auto" w:fill="auto"/>
            <w:noWrap/>
            <w:vAlign w:val="bottom"/>
            <w:hideMark/>
          </w:tcPr>
          <w:p w14:paraId="08354572"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r w:rsidRPr="00095768">
              <w:rPr>
                <w:rFonts w:ascii="Calibri" w:eastAsia="Times New Roman" w:hAnsi="Calibri" w:cs="Calibri"/>
                <w:i/>
                <w:iCs/>
                <w:color w:val="000000"/>
                <w:sz w:val="18"/>
                <w:szCs w:val="18"/>
                <w:lang w:val="fr-FR" w:eastAsia="fr-FR"/>
              </w:rPr>
              <w:t xml:space="preserve">No </w:t>
            </w:r>
            <w:proofErr w:type="spellStart"/>
            <w:r w:rsidRPr="00095768">
              <w:rPr>
                <w:rFonts w:ascii="Calibri" w:eastAsia="Times New Roman" w:hAnsi="Calibri" w:cs="Calibri"/>
                <w:i/>
                <w:iCs/>
                <w:color w:val="000000"/>
                <w:sz w:val="18"/>
                <w:szCs w:val="18"/>
                <w:lang w:val="fr-FR" w:eastAsia="fr-FR"/>
              </w:rPr>
              <w:t>reason</w:t>
            </w:r>
            <w:proofErr w:type="spellEnd"/>
          </w:p>
        </w:tc>
        <w:tc>
          <w:tcPr>
            <w:tcW w:w="0" w:type="auto"/>
            <w:tcBorders>
              <w:top w:val="nil"/>
              <w:left w:val="nil"/>
              <w:bottom w:val="nil"/>
              <w:right w:val="nil"/>
            </w:tcBorders>
            <w:shd w:val="clear" w:color="auto" w:fill="auto"/>
            <w:noWrap/>
            <w:vAlign w:val="bottom"/>
            <w:hideMark/>
          </w:tcPr>
          <w:p w14:paraId="7EB5E3B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w:t>
            </w:r>
          </w:p>
        </w:tc>
        <w:tc>
          <w:tcPr>
            <w:tcW w:w="0" w:type="auto"/>
            <w:tcBorders>
              <w:top w:val="nil"/>
              <w:left w:val="nil"/>
              <w:bottom w:val="nil"/>
              <w:right w:val="nil"/>
            </w:tcBorders>
            <w:shd w:val="clear" w:color="auto" w:fill="auto"/>
            <w:noWrap/>
            <w:vAlign w:val="bottom"/>
            <w:hideMark/>
          </w:tcPr>
          <w:p w14:paraId="22ED608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w:t>
            </w:r>
          </w:p>
        </w:tc>
        <w:tc>
          <w:tcPr>
            <w:tcW w:w="0" w:type="auto"/>
            <w:tcBorders>
              <w:top w:val="nil"/>
              <w:left w:val="nil"/>
              <w:bottom w:val="nil"/>
              <w:right w:val="nil"/>
            </w:tcBorders>
            <w:shd w:val="clear" w:color="auto" w:fill="auto"/>
            <w:noWrap/>
            <w:vAlign w:val="bottom"/>
            <w:hideMark/>
          </w:tcPr>
          <w:p w14:paraId="079E24A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8F0877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1E8A8D1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0.15</w:t>
            </w:r>
          </w:p>
        </w:tc>
        <w:tc>
          <w:tcPr>
            <w:tcW w:w="0" w:type="auto"/>
            <w:tcBorders>
              <w:top w:val="nil"/>
              <w:left w:val="nil"/>
              <w:bottom w:val="nil"/>
              <w:right w:val="nil"/>
            </w:tcBorders>
            <w:shd w:val="clear" w:color="auto" w:fill="auto"/>
            <w:noWrap/>
            <w:vAlign w:val="bottom"/>
            <w:hideMark/>
          </w:tcPr>
          <w:p w14:paraId="4452AA0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251BB1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048428F2"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0.62</w:t>
            </w:r>
          </w:p>
        </w:tc>
        <w:tc>
          <w:tcPr>
            <w:tcW w:w="0" w:type="auto"/>
            <w:tcBorders>
              <w:top w:val="nil"/>
              <w:left w:val="nil"/>
              <w:bottom w:val="nil"/>
              <w:right w:val="nil"/>
            </w:tcBorders>
            <w:shd w:val="clear" w:color="auto" w:fill="auto"/>
            <w:noWrap/>
            <w:vAlign w:val="bottom"/>
            <w:hideMark/>
          </w:tcPr>
          <w:p w14:paraId="5D23847C"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69E683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761086F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51.83</w:t>
            </w:r>
          </w:p>
        </w:tc>
        <w:tc>
          <w:tcPr>
            <w:tcW w:w="0" w:type="auto"/>
            <w:tcBorders>
              <w:top w:val="nil"/>
              <w:left w:val="nil"/>
              <w:bottom w:val="nil"/>
              <w:right w:val="nil"/>
            </w:tcBorders>
            <w:shd w:val="clear" w:color="auto" w:fill="auto"/>
            <w:noWrap/>
            <w:vAlign w:val="bottom"/>
            <w:hideMark/>
          </w:tcPr>
          <w:p w14:paraId="7316265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33C9C06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5DE81A4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0.20</w:t>
            </w:r>
          </w:p>
        </w:tc>
      </w:tr>
      <w:tr w:rsidR="00095768" w:rsidRPr="00095768" w14:paraId="580BC94D" w14:textId="77777777" w:rsidTr="00095768">
        <w:trPr>
          <w:trHeight w:val="288"/>
        </w:trPr>
        <w:tc>
          <w:tcPr>
            <w:tcW w:w="0" w:type="auto"/>
            <w:tcBorders>
              <w:top w:val="nil"/>
              <w:left w:val="nil"/>
              <w:bottom w:val="nil"/>
              <w:right w:val="nil"/>
            </w:tcBorders>
            <w:shd w:val="clear" w:color="auto" w:fill="auto"/>
            <w:noWrap/>
            <w:vAlign w:val="bottom"/>
            <w:hideMark/>
          </w:tcPr>
          <w:p w14:paraId="0699D546" w14:textId="77777777" w:rsidR="00095768" w:rsidRPr="00095768" w:rsidRDefault="00095768" w:rsidP="00095768">
            <w:pPr>
              <w:spacing w:after="0"/>
              <w:ind w:firstLineChars="100" w:firstLine="180"/>
              <w:rPr>
                <w:rFonts w:ascii="Calibri" w:eastAsia="Times New Roman" w:hAnsi="Calibri" w:cs="Calibri"/>
                <w:i/>
                <w:iCs/>
                <w:color w:val="000000"/>
                <w:sz w:val="18"/>
                <w:szCs w:val="18"/>
                <w:lang w:val="fr-FR" w:eastAsia="fr-FR"/>
              </w:rPr>
            </w:pPr>
            <w:proofErr w:type="spellStart"/>
            <w:r w:rsidRPr="00095768">
              <w:rPr>
                <w:rFonts w:ascii="Calibri" w:eastAsia="Times New Roman" w:hAnsi="Calibri" w:cs="Calibri"/>
                <w:i/>
                <w:iCs/>
                <w:color w:val="000000"/>
                <w:sz w:val="18"/>
                <w:szCs w:val="18"/>
                <w:lang w:val="fr-FR" w:eastAsia="fr-FR"/>
              </w:rPr>
              <w:t>Other</w:t>
            </w:r>
            <w:proofErr w:type="spellEnd"/>
          </w:p>
        </w:tc>
        <w:tc>
          <w:tcPr>
            <w:tcW w:w="0" w:type="auto"/>
            <w:tcBorders>
              <w:top w:val="nil"/>
              <w:left w:val="nil"/>
              <w:bottom w:val="nil"/>
              <w:right w:val="nil"/>
            </w:tcBorders>
            <w:shd w:val="clear" w:color="auto" w:fill="auto"/>
            <w:noWrap/>
            <w:vAlign w:val="bottom"/>
            <w:hideMark/>
          </w:tcPr>
          <w:p w14:paraId="56979CC5"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w:t>
            </w:r>
          </w:p>
        </w:tc>
        <w:tc>
          <w:tcPr>
            <w:tcW w:w="0" w:type="auto"/>
            <w:tcBorders>
              <w:top w:val="nil"/>
              <w:left w:val="nil"/>
              <w:bottom w:val="nil"/>
              <w:right w:val="nil"/>
            </w:tcBorders>
            <w:shd w:val="clear" w:color="auto" w:fill="auto"/>
            <w:noWrap/>
            <w:vAlign w:val="bottom"/>
            <w:hideMark/>
          </w:tcPr>
          <w:p w14:paraId="1166103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27</w:t>
            </w:r>
          </w:p>
        </w:tc>
        <w:tc>
          <w:tcPr>
            <w:tcW w:w="0" w:type="auto"/>
            <w:tcBorders>
              <w:top w:val="nil"/>
              <w:left w:val="nil"/>
              <w:bottom w:val="nil"/>
              <w:right w:val="nil"/>
            </w:tcBorders>
            <w:shd w:val="clear" w:color="auto" w:fill="auto"/>
            <w:noWrap/>
            <w:vAlign w:val="bottom"/>
            <w:hideMark/>
          </w:tcPr>
          <w:p w14:paraId="13885E2E"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7191C28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7FE0C19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1.33</w:t>
            </w:r>
          </w:p>
        </w:tc>
        <w:tc>
          <w:tcPr>
            <w:tcW w:w="0" w:type="auto"/>
            <w:tcBorders>
              <w:top w:val="nil"/>
              <w:left w:val="nil"/>
              <w:bottom w:val="nil"/>
              <w:right w:val="nil"/>
            </w:tcBorders>
            <w:shd w:val="clear" w:color="auto" w:fill="auto"/>
            <w:noWrap/>
            <w:vAlign w:val="bottom"/>
            <w:hideMark/>
          </w:tcPr>
          <w:p w14:paraId="6C704E3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2B759E6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5A498F3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4.31</w:t>
            </w:r>
          </w:p>
        </w:tc>
        <w:tc>
          <w:tcPr>
            <w:tcW w:w="0" w:type="auto"/>
            <w:tcBorders>
              <w:top w:val="nil"/>
              <w:left w:val="nil"/>
              <w:bottom w:val="nil"/>
              <w:right w:val="nil"/>
            </w:tcBorders>
            <w:shd w:val="clear" w:color="auto" w:fill="auto"/>
            <w:noWrap/>
            <w:vAlign w:val="bottom"/>
            <w:hideMark/>
          </w:tcPr>
          <w:p w14:paraId="5308B9C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10CBDDF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780FEC7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104.78</w:t>
            </w:r>
          </w:p>
        </w:tc>
        <w:tc>
          <w:tcPr>
            <w:tcW w:w="0" w:type="auto"/>
            <w:tcBorders>
              <w:top w:val="nil"/>
              <w:left w:val="nil"/>
              <w:bottom w:val="nil"/>
              <w:right w:val="nil"/>
            </w:tcBorders>
            <w:shd w:val="clear" w:color="auto" w:fill="auto"/>
            <w:noWrap/>
            <w:vAlign w:val="bottom"/>
            <w:hideMark/>
          </w:tcPr>
          <w:p w14:paraId="15EF0B2A"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0E8C08D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0.00</w:t>
            </w:r>
          </w:p>
        </w:tc>
        <w:tc>
          <w:tcPr>
            <w:tcW w:w="0" w:type="auto"/>
            <w:tcBorders>
              <w:top w:val="nil"/>
              <w:left w:val="nil"/>
              <w:bottom w:val="nil"/>
              <w:right w:val="nil"/>
            </w:tcBorders>
            <w:shd w:val="clear" w:color="auto" w:fill="auto"/>
            <w:noWrap/>
            <w:vAlign w:val="bottom"/>
            <w:hideMark/>
          </w:tcPr>
          <w:p w14:paraId="2D3B53D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3.71</w:t>
            </w:r>
          </w:p>
        </w:tc>
      </w:tr>
      <w:tr w:rsidR="00095768" w:rsidRPr="00095768" w14:paraId="18B7BEDA" w14:textId="77777777" w:rsidTr="00095768">
        <w:trPr>
          <w:trHeight w:val="288"/>
        </w:trPr>
        <w:tc>
          <w:tcPr>
            <w:tcW w:w="0" w:type="auto"/>
            <w:tcBorders>
              <w:top w:val="nil"/>
              <w:left w:val="nil"/>
              <w:bottom w:val="nil"/>
              <w:right w:val="nil"/>
            </w:tcBorders>
            <w:shd w:val="clear" w:color="auto" w:fill="auto"/>
            <w:noWrap/>
            <w:vAlign w:val="bottom"/>
            <w:hideMark/>
          </w:tcPr>
          <w:p w14:paraId="57366E4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5E319BCB" w14:textId="77777777" w:rsidR="00095768" w:rsidRPr="00095768" w:rsidRDefault="00095768" w:rsidP="00095768">
            <w:pPr>
              <w:spacing w:after="0"/>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0329A35"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052A678"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DC8FA73"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23CD1BD"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2470FD6"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B3745D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27FB67A"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88850F2"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0961999"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960D992"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387B1D3"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7BDA1D3"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0F60202" w14:textId="77777777" w:rsidR="00095768" w:rsidRPr="00095768" w:rsidRDefault="00095768" w:rsidP="00095768">
            <w:pPr>
              <w:spacing w:after="0"/>
              <w:jc w:val="center"/>
              <w:rPr>
                <w:rFonts w:ascii="Times New Roman" w:eastAsia="Times New Roman" w:hAnsi="Times New Roman" w:cs="Times New Roman"/>
                <w:sz w:val="18"/>
                <w:szCs w:val="18"/>
                <w:lang w:val="fr-FR" w:eastAsia="fr-FR"/>
              </w:rPr>
            </w:pPr>
          </w:p>
        </w:tc>
      </w:tr>
      <w:tr w:rsidR="00095768" w:rsidRPr="00095768" w14:paraId="7BDC3E3B" w14:textId="77777777" w:rsidTr="00095768">
        <w:trPr>
          <w:trHeight w:val="288"/>
        </w:trPr>
        <w:tc>
          <w:tcPr>
            <w:tcW w:w="0" w:type="auto"/>
            <w:tcBorders>
              <w:top w:val="nil"/>
              <w:left w:val="nil"/>
              <w:bottom w:val="single" w:sz="4" w:space="0" w:color="auto"/>
              <w:right w:val="nil"/>
            </w:tcBorders>
            <w:shd w:val="clear" w:color="auto" w:fill="auto"/>
            <w:noWrap/>
            <w:vAlign w:val="bottom"/>
            <w:hideMark/>
          </w:tcPr>
          <w:p w14:paraId="5C21668B" w14:textId="77777777" w:rsidR="00095768" w:rsidRPr="00095768" w:rsidRDefault="00095768" w:rsidP="00095768">
            <w:pPr>
              <w:spacing w:after="0"/>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Total</w:t>
            </w:r>
          </w:p>
        </w:tc>
        <w:tc>
          <w:tcPr>
            <w:tcW w:w="0" w:type="auto"/>
            <w:tcBorders>
              <w:top w:val="nil"/>
              <w:left w:val="nil"/>
              <w:bottom w:val="single" w:sz="4" w:space="0" w:color="auto"/>
              <w:right w:val="nil"/>
            </w:tcBorders>
            <w:shd w:val="clear" w:color="auto" w:fill="auto"/>
            <w:noWrap/>
            <w:vAlign w:val="bottom"/>
            <w:hideMark/>
          </w:tcPr>
          <w:p w14:paraId="0867C8ED"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1957</w:t>
            </w:r>
          </w:p>
        </w:tc>
        <w:tc>
          <w:tcPr>
            <w:tcW w:w="0" w:type="auto"/>
            <w:tcBorders>
              <w:top w:val="nil"/>
              <w:left w:val="nil"/>
              <w:bottom w:val="single" w:sz="4" w:space="0" w:color="auto"/>
              <w:right w:val="nil"/>
            </w:tcBorders>
            <w:shd w:val="clear" w:color="auto" w:fill="auto"/>
            <w:noWrap/>
            <w:vAlign w:val="bottom"/>
            <w:hideMark/>
          </w:tcPr>
          <w:p w14:paraId="1093EB3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2031</w:t>
            </w:r>
          </w:p>
        </w:tc>
        <w:tc>
          <w:tcPr>
            <w:tcW w:w="0" w:type="auto"/>
            <w:tcBorders>
              <w:top w:val="nil"/>
              <w:left w:val="nil"/>
              <w:bottom w:val="single" w:sz="4" w:space="0" w:color="auto"/>
              <w:right w:val="nil"/>
            </w:tcBorders>
            <w:shd w:val="clear" w:color="auto" w:fill="auto"/>
            <w:noWrap/>
            <w:vAlign w:val="bottom"/>
            <w:hideMark/>
          </w:tcPr>
          <w:p w14:paraId="15B26808"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784DBB57"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100.00</w:t>
            </w:r>
          </w:p>
        </w:tc>
        <w:tc>
          <w:tcPr>
            <w:tcW w:w="0" w:type="auto"/>
            <w:tcBorders>
              <w:top w:val="nil"/>
              <w:left w:val="nil"/>
              <w:bottom w:val="single" w:sz="4" w:space="0" w:color="auto"/>
              <w:right w:val="nil"/>
            </w:tcBorders>
            <w:shd w:val="clear" w:color="auto" w:fill="auto"/>
            <w:noWrap/>
            <w:vAlign w:val="bottom"/>
            <w:hideMark/>
          </w:tcPr>
          <w:p w14:paraId="591900E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100.00</w:t>
            </w:r>
          </w:p>
        </w:tc>
        <w:tc>
          <w:tcPr>
            <w:tcW w:w="0" w:type="auto"/>
            <w:tcBorders>
              <w:top w:val="nil"/>
              <w:left w:val="nil"/>
              <w:bottom w:val="single" w:sz="4" w:space="0" w:color="auto"/>
              <w:right w:val="nil"/>
            </w:tcBorders>
            <w:shd w:val="clear" w:color="auto" w:fill="auto"/>
            <w:noWrap/>
            <w:vAlign w:val="bottom"/>
            <w:hideMark/>
          </w:tcPr>
          <w:p w14:paraId="2F4460FB"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6D49467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405 HH</w:t>
            </w:r>
          </w:p>
        </w:tc>
        <w:tc>
          <w:tcPr>
            <w:tcW w:w="0" w:type="auto"/>
            <w:tcBorders>
              <w:top w:val="nil"/>
              <w:left w:val="nil"/>
              <w:bottom w:val="single" w:sz="4" w:space="0" w:color="auto"/>
              <w:right w:val="nil"/>
            </w:tcBorders>
            <w:shd w:val="clear" w:color="auto" w:fill="auto"/>
            <w:noWrap/>
            <w:vAlign w:val="bottom"/>
            <w:hideMark/>
          </w:tcPr>
          <w:p w14:paraId="2F210F6F"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487 HH</w:t>
            </w:r>
          </w:p>
        </w:tc>
        <w:tc>
          <w:tcPr>
            <w:tcW w:w="0" w:type="auto"/>
            <w:tcBorders>
              <w:top w:val="nil"/>
              <w:left w:val="nil"/>
              <w:bottom w:val="single" w:sz="4" w:space="0" w:color="auto"/>
              <w:right w:val="nil"/>
            </w:tcBorders>
            <w:shd w:val="clear" w:color="auto" w:fill="auto"/>
            <w:noWrap/>
            <w:vAlign w:val="bottom"/>
            <w:hideMark/>
          </w:tcPr>
          <w:p w14:paraId="2259E4D3"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6DAC41C6"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21.28</w:t>
            </w:r>
          </w:p>
        </w:tc>
        <w:tc>
          <w:tcPr>
            <w:tcW w:w="0" w:type="auto"/>
            <w:tcBorders>
              <w:top w:val="nil"/>
              <w:left w:val="nil"/>
              <w:bottom w:val="single" w:sz="4" w:space="0" w:color="auto"/>
              <w:right w:val="nil"/>
            </w:tcBorders>
            <w:shd w:val="clear" w:color="auto" w:fill="auto"/>
            <w:noWrap/>
            <w:vAlign w:val="bottom"/>
            <w:hideMark/>
          </w:tcPr>
          <w:p w14:paraId="046441F1"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37.54</w:t>
            </w:r>
          </w:p>
        </w:tc>
        <w:tc>
          <w:tcPr>
            <w:tcW w:w="0" w:type="auto"/>
            <w:tcBorders>
              <w:top w:val="nil"/>
              <w:left w:val="nil"/>
              <w:bottom w:val="single" w:sz="4" w:space="0" w:color="auto"/>
              <w:right w:val="nil"/>
            </w:tcBorders>
            <w:shd w:val="clear" w:color="auto" w:fill="auto"/>
            <w:noWrap/>
            <w:vAlign w:val="bottom"/>
            <w:hideMark/>
          </w:tcPr>
          <w:p w14:paraId="15427B84"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 </w:t>
            </w:r>
          </w:p>
        </w:tc>
        <w:tc>
          <w:tcPr>
            <w:tcW w:w="0" w:type="auto"/>
            <w:tcBorders>
              <w:top w:val="nil"/>
              <w:left w:val="nil"/>
              <w:bottom w:val="single" w:sz="4" w:space="0" w:color="auto"/>
              <w:right w:val="nil"/>
            </w:tcBorders>
            <w:shd w:val="clear" w:color="auto" w:fill="auto"/>
            <w:noWrap/>
            <w:vAlign w:val="bottom"/>
            <w:hideMark/>
          </w:tcPr>
          <w:p w14:paraId="32893CF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100.00</w:t>
            </w:r>
          </w:p>
        </w:tc>
        <w:tc>
          <w:tcPr>
            <w:tcW w:w="0" w:type="auto"/>
            <w:tcBorders>
              <w:top w:val="nil"/>
              <w:left w:val="nil"/>
              <w:bottom w:val="single" w:sz="4" w:space="0" w:color="auto"/>
              <w:right w:val="nil"/>
            </w:tcBorders>
            <w:shd w:val="clear" w:color="auto" w:fill="auto"/>
            <w:noWrap/>
            <w:vAlign w:val="bottom"/>
            <w:hideMark/>
          </w:tcPr>
          <w:p w14:paraId="55F38FB0" w14:textId="77777777" w:rsidR="00095768" w:rsidRPr="00095768" w:rsidRDefault="00095768" w:rsidP="00095768">
            <w:pPr>
              <w:spacing w:after="0"/>
              <w:jc w:val="center"/>
              <w:rPr>
                <w:rFonts w:ascii="Calibri" w:eastAsia="Times New Roman" w:hAnsi="Calibri" w:cs="Calibri"/>
                <w:color w:val="000000"/>
                <w:sz w:val="18"/>
                <w:szCs w:val="18"/>
                <w:lang w:val="fr-FR" w:eastAsia="fr-FR"/>
              </w:rPr>
            </w:pPr>
            <w:r w:rsidRPr="00095768">
              <w:rPr>
                <w:rFonts w:ascii="Calibri" w:eastAsia="Times New Roman" w:hAnsi="Calibri" w:cs="Calibri"/>
                <w:color w:val="000000"/>
                <w:sz w:val="18"/>
                <w:szCs w:val="18"/>
                <w:lang w:val="fr-FR" w:eastAsia="fr-FR"/>
              </w:rPr>
              <w:t>100.00</w:t>
            </w:r>
          </w:p>
        </w:tc>
      </w:tr>
    </w:tbl>
    <w:p w14:paraId="6941D3B5" w14:textId="7D9813CA" w:rsidR="00311AB2" w:rsidRDefault="00311AB2" w:rsidP="00311AB2">
      <w:pPr>
        <w:pStyle w:val="BodyText"/>
      </w:pPr>
    </w:p>
    <w:p w14:paraId="5E69A973" w14:textId="26A396A0" w:rsidR="00095768" w:rsidRDefault="00095768" w:rsidP="00095768">
      <w:pPr>
        <w:pStyle w:val="Caption"/>
        <w:keepNext/>
      </w:pPr>
      <w:r>
        <w:t xml:space="preserve">Table </w:t>
      </w:r>
      <w:fldSimple w:instr=" SEQ Table \* ARABIC ">
        <w:r>
          <w:rPr>
            <w:noProof/>
          </w:rPr>
          <w:t>3</w:t>
        </w:r>
      </w:fldSimple>
      <w:r>
        <w:t xml:space="preserve"> Loan sources by caste and ownership -- Source: NEEMSIS-1 (2016-17); author's calculations.</w:t>
      </w:r>
    </w:p>
    <w:tbl>
      <w:tblPr>
        <w:tblW w:w="5000" w:type="pct"/>
        <w:tblCellMar>
          <w:left w:w="70" w:type="dxa"/>
          <w:right w:w="70" w:type="dxa"/>
        </w:tblCellMar>
        <w:tblLook w:val="04A0" w:firstRow="1" w:lastRow="0" w:firstColumn="1" w:lastColumn="0" w:noHBand="0" w:noVBand="1"/>
      </w:tblPr>
      <w:tblGrid>
        <w:gridCol w:w="2099"/>
        <w:gridCol w:w="814"/>
        <w:gridCol w:w="815"/>
        <w:gridCol w:w="815"/>
        <w:gridCol w:w="1046"/>
        <w:gridCol w:w="815"/>
        <w:gridCol w:w="1608"/>
        <w:gridCol w:w="1534"/>
      </w:tblGrid>
      <w:tr w:rsidR="00095768" w:rsidRPr="00095768" w14:paraId="6DF043B9" w14:textId="77777777" w:rsidTr="00095768">
        <w:trPr>
          <w:trHeight w:val="288"/>
        </w:trPr>
        <w:tc>
          <w:tcPr>
            <w:tcW w:w="1099" w:type="pct"/>
            <w:tcBorders>
              <w:top w:val="single" w:sz="4" w:space="0" w:color="auto"/>
              <w:left w:val="nil"/>
              <w:bottom w:val="single" w:sz="4" w:space="0" w:color="auto"/>
              <w:right w:val="nil"/>
            </w:tcBorders>
            <w:shd w:val="clear" w:color="auto" w:fill="auto"/>
            <w:noWrap/>
            <w:vAlign w:val="bottom"/>
            <w:hideMark/>
          </w:tcPr>
          <w:p w14:paraId="4CCFE748" w14:textId="77777777" w:rsidR="00095768" w:rsidRPr="00095768" w:rsidRDefault="00095768" w:rsidP="00095768">
            <w:pPr>
              <w:spacing w:after="0"/>
              <w:jc w:val="center"/>
              <w:rPr>
                <w:rFonts w:ascii="Calibri" w:eastAsia="Times New Roman" w:hAnsi="Calibri" w:cs="Calibri"/>
                <w:color w:val="000000"/>
                <w:sz w:val="22"/>
                <w:szCs w:val="22"/>
                <w:lang w:val="en-GB" w:eastAsia="fr-FR"/>
              </w:rPr>
            </w:pPr>
            <w:r w:rsidRPr="00095768">
              <w:rPr>
                <w:rFonts w:ascii="Calibri" w:eastAsia="Times New Roman" w:hAnsi="Calibri" w:cs="Calibri"/>
                <w:color w:val="000000"/>
                <w:sz w:val="22"/>
                <w:szCs w:val="22"/>
                <w:lang w:val="en-GB" w:eastAsia="fr-FR"/>
              </w:rPr>
              <w:t> </w:t>
            </w:r>
          </w:p>
        </w:tc>
        <w:tc>
          <w:tcPr>
            <w:tcW w:w="427" w:type="pct"/>
            <w:tcBorders>
              <w:top w:val="single" w:sz="4" w:space="0" w:color="auto"/>
              <w:left w:val="nil"/>
              <w:bottom w:val="single" w:sz="4" w:space="0" w:color="auto"/>
              <w:right w:val="nil"/>
            </w:tcBorders>
            <w:shd w:val="clear" w:color="auto" w:fill="auto"/>
            <w:noWrap/>
            <w:vAlign w:val="bottom"/>
            <w:hideMark/>
          </w:tcPr>
          <w:p w14:paraId="5EE881E2"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Total</w:t>
            </w:r>
          </w:p>
        </w:tc>
        <w:tc>
          <w:tcPr>
            <w:tcW w:w="427" w:type="pct"/>
            <w:tcBorders>
              <w:top w:val="single" w:sz="4" w:space="0" w:color="auto"/>
              <w:left w:val="nil"/>
              <w:bottom w:val="single" w:sz="4" w:space="0" w:color="auto"/>
              <w:right w:val="nil"/>
            </w:tcBorders>
            <w:shd w:val="clear" w:color="auto" w:fill="auto"/>
            <w:noWrap/>
            <w:vAlign w:val="bottom"/>
            <w:hideMark/>
          </w:tcPr>
          <w:p w14:paraId="18CB94F1"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w:t>
            </w:r>
          </w:p>
        </w:tc>
        <w:tc>
          <w:tcPr>
            <w:tcW w:w="427" w:type="pct"/>
            <w:tcBorders>
              <w:top w:val="single" w:sz="4" w:space="0" w:color="auto"/>
              <w:left w:val="nil"/>
              <w:bottom w:val="single" w:sz="4" w:space="0" w:color="auto"/>
              <w:right w:val="nil"/>
            </w:tcBorders>
            <w:shd w:val="clear" w:color="auto" w:fill="auto"/>
            <w:noWrap/>
            <w:vAlign w:val="bottom"/>
            <w:hideMark/>
          </w:tcPr>
          <w:p w14:paraId="551DB339"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Dalits</w:t>
            </w:r>
          </w:p>
        </w:tc>
        <w:tc>
          <w:tcPr>
            <w:tcW w:w="548" w:type="pct"/>
            <w:tcBorders>
              <w:top w:val="single" w:sz="4" w:space="0" w:color="auto"/>
              <w:left w:val="nil"/>
              <w:bottom w:val="single" w:sz="4" w:space="0" w:color="auto"/>
              <w:right w:val="nil"/>
            </w:tcBorders>
            <w:shd w:val="clear" w:color="auto" w:fill="auto"/>
            <w:noWrap/>
            <w:vAlign w:val="bottom"/>
            <w:hideMark/>
          </w:tcPr>
          <w:p w14:paraId="6F716B18"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Non dalits</w:t>
            </w:r>
          </w:p>
        </w:tc>
        <w:tc>
          <w:tcPr>
            <w:tcW w:w="427" w:type="pct"/>
            <w:tcBorders>
              <w:top w:val="single" w:sz="4" w:space="0" w:color="auto"/>
              <w:left w:val="nil"/>
              <w:bottom w:val="single" w:sz="4" w:space="0" w:color="auto"/>
              <w:right w:val="nil"/>
            </w:tcBorders>
            <w:shd w:val="clear" w:color="auto" w:fill="auto"/>
            <w:noWrap/>
            <w:vAlign w:val="bottom"/>
            <w:hideMark/>
          </w:tcPr>
          <w:p w14:paraId="6D266C4E"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w:t>
            </w:r>
          </w:p>
        </w:tc>
        <w:tc>
          <w:tcPr>
            <w:tcW w:w="842" w:type="pct"/>
            <w:tcBorders>
              <w:top w:val="single" w:sz="4" w:space="0" w:color="auto"/>
              <w:left w:val="nil"/>
              <w:bottom w:val="single" w:sz="4" w:space="0" w:color="auto"/>
              <w:right w:val="nil"/>
            </w:tcBorders>
            <w:shd w:val="clear" w:color="auto" w:fill="auto"/>
            <w:noWrap/>
            <w:vAlign w:val="bottom"/>
            <w:hideMark/>
          </w:tcPr>
          <w:p w14:paraId="7615DE73"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xml:space="preserve">Land </w:t>
            </w:r>
            <w:proofErr w:type="spellStart"/>
            <w:r w:rsidRPr="00095768">
              <w:rPr>
                <w:rFonts w:ascii="Calibri" w:eastAsia="Times New Roman" w:hAnsi="Calibri" w:cs="Calibri"/>
                <w:color w:val="000000"/>
                <w:sz w:val="22"/>
                <w:szCs w:val="22"/>
                <w:lang w:val="fr-FR" w:eastAsia="fr-FR"/>
              </w:rPr>
              <w:t>owner</w:t>
            </w:r>
            <w:proofErr w:type="spellEnd"/>
          </w:p>
        </w:tc>
        <w:tc>
          <w:tcPr>
            <w:tcW w:w="803" w:type="pct"/>
            <w:tcBorders>
              <w:top w:val="single" w:sz="4" w:space="0" w:color="auto"/>
              <w:left w:val="nil"/>
              <w:bottom w:val="single" w:sz="4" w:space="0" w:color="auto"/>
              <w:right w:val="nil"/>
            </w:tcBorders>
            <w:shd w:val="clear" w:color="auto" w:fill="auto"/>
            <w:noWrap/>
            <w:vAlign w:val="bottom"/>
            <w:hideMark/>
          </w:tcPr>
          <w:p w14:paraId="4003D431"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xml:space="preserve">Not land </w:t>
            </w:r>
            <w:proofErr w:type="spellStart"/>
            <w:r w:rsidRPr="00095768">
              <w:rPr>
                <w:rFonts w:ascii="Calibri" w:eastAsia="Times New Roman" w:hAnsi="Calibri" w:cs="Calibri"/>
                <w:color w:val="000000"/>
                <w:sz w:val="22"/>
                <w:szCs w:val="22"/>
                <w:lang w:val="fr-FR" w:eastAsia="fr-FR"/>
              </w:rPr>
              <w:t>owner</w:t>
            </w:r>
            <w:proofErr w:type="spellEnd"/>
          </w:p>
        </w:tc>
      </w:tr>
      <w:tr w:rsidR="00095768" w:rsidRPr="00095768" w14:paraId="7B784058" w14:textId="77777777" w:rsidTr="00095768">
        <w:trPr>
          <w:trHeight w:val="288"/>
        </w:trPr>
        <w:tc>
          <w:tcPr>
            <w:tcW w:w="1099" w:type="pct"/>
            <w:tcBorders>
              <w:top w:val="nil"/>
              <w:left w:val="nil"/>
              <w:bottom w:val="nil"/>
              <w:right w:val="nil"/>
            </w:tcBorders>
            <w:shd w:val="clear" w:color="auto" w:fill="auto"/>
            <w:noWrap/>
            <w:vAlign w:val="bottom"/>
            <w:hideMark/>
          </w:tcPr>
          <w:p w14:paraId="35630DF0" w14:textId="77777777" w:rsidR="00095768" w:rsidRPr="00095768" w:rsidRDefault="00095768" w:rsidP="00095768">
            <w:pPr>
              <w:spacing w:after="0"/>
              <w:rPr>
                <w:rFonts w:ascii="Calibri" w:eastAsia="Times New Roman" w:hAnsi="Calibri" w:cs="Calibri"/>
                <w:color w:val="000000"/>
                <w:sz w:val="22"/>
                <w:szCs w:val="22"/>
                <w:lang w:val="fr-FR" w:eastAsia="fr-FR"/>
              </w:rPr>
            </w:pPr>
            <w:proofErr w:type="spellStart"/>
            <w:r w:rsidRPr="00095768">
              <w:rPr>
                <w:rFonts w:ascii="Calibri" w:eastAsia="Times New Roman" w:hAnsi="Calibri" w:cs="Calibri"/>
                <w:color w:val="000000"/>
                <w:sz w:val="22"/>
                <w:szCs w:val="22"/>
                <w:lang w:val="fr-FR" w:eastAsia="fr-FR"/>
              </w:rPr>
              <w:t>Number</w:t>
            </w:r>
            <w:proofErr w:type="spellEnd"/>
            <w:r w:rsidRPr="00095768">
              <w:rPr>
                <w:rFonts w:ascii="Calibri" w:eastAsia="Times New Roman" w:hAnsi="Calibri" w:cs="Calibri"/>
                <w:color w:val="000000"/>
                <w:sz w:val="22"/>
                <w:szCs w:val="22"/>
                <w:lang w:val="fr-FR" w:eastAsia="fr-FR"/>
              </w:rPr>
              <w:t xml:space="preserve"> of </w:t>
            </w:r>
            <w:proofErr w:type="spellStart"/>
            <w:r w:rsidRPr="00095768">
              <w:rPr>
                <w:rFonts w:ascii="Calibri" w:eastAsia="Times New Roman" w:hAnsi="Calibri" w:cs="Calibri"/>
                <w:color w:val="000000"/>
                <w:sz w:val="22"/>
                <w:szCs w:val="22"/>
                <w:lang w:val="fr-FR" w:eastAsia="fr-FR"/>
              </w:rPr>
              <w:t>household</w:t>
            </w:r>
            <w:proofErr w:type="spellEnd"/>
          </w:p>
        </w:tc>
        <w:tc>
          <w:tcPr>
            <w:tcW w:w="427" w:type="pct"/>
            <w:tcBorders>
              <w:top w:val="nil"/>
              <w:left w:val="nil"/>
              <w:bottom w:val="nil"/>
              <w:right w:val="nil"/>
            </w:tcBorders>
            <w:shd w:val="clear" w:color="auto" w:fill="auto"/>
            <w:noWrap/>
            <w:vAlign w:val="bottom"/>
            <w:hideMark/>
          </w:tcPr>
          <w:p w14:paraId="341A823C"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n=487</w:t>
            </w:r>
          </w:p>
        </w:tc>
        <w:tc>
          <w:tcPr>
            <w:tcW w:w="427" w:type="pct"/>
            <w:tcBorders>
              <w:top w:val="nil"/>
              <w:left w:val="nil"/>
              <w:bottom w:val="nil"/>
              <w:right w:val="nil"/>
            </w:tcBorders>
            <w:shd w:val="clear" w:color="auto" w:fill="auto"/>
            <w:noWrap/>
            <w:vAlign w:val="bottom"/>
            <w:hideMark/>
          </w:tcPr>
          <w:p w14:paraId="78030DA9"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 </w:t>
            </w:r>
          </w:p>
        </w:tc>
        <w:tc>
          <w:tcPr>
            <w:tcW w:w="427" w:type="pct"/>
            <w:tcBorders>
              <w:top w:val="nil"/>
              <w:left w:val="nil"/>
              <w:bottom w:val="nil"/>
              <w:right w:val="nil"/>
            </w:tcBorders>
            <w:shd w:val="clear" w:color="auto" w:fill="auto"/>
            <w:noWrap/>
            <w:vAlign w:val="bottom"/>
            <w:hideMark/>
          </w:tcPr>
          <w:p w14:paraId="283012BE"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n=232</w:t>
            </w:r>
          </w:p>
        </w:tc>
        <w:tc>
          <w:tcPr>
            <w:tcW w:w="548" w:type="pct"/>
            <w:tcBorders>
              <w:top w:val="nil"/>
              <w:left w:val="nil"/>
              <w:bottom w:val="nil"/>
              <w:right w:val="nil"/>
            </w:tcBorders>
            <w:shd w:val="clear" w:color="auto" w:fill="auto"/>
            <w:noWrap/>
            <w:vAlign w:val="bottom"/>
            <w:hideMark/>
          </w:tcPr>
          <w:p w14:paraId="574BD0B9"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n=255</w:t>
            </w:r>
          </w:p>
        </w:tc>
        <w:tc>
          <w:tcPr>
            <w:tcW w:w="427" w:type="pct"/>
            <w:tcBorders>
              <w:top w:val="nil"/>
              <w:left w:val="nil"/>
              <w:bottom w:val="nil"/>
              <w:right w:val="nil"/>
            </w:tcBorders>
            <w:shd w:val="clear" w:color="auto" w:fill="auto"/>
            <w:noWrap/>
            <w:vAlign w:val="bottom"/>
            <w:hideMark/>
          </w:tcPr>
          <w:p w14:paraId="129330E9"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 </w:t>
            </w:r>
          </w:p>
        </w:tc>
        <w:tc>
          <w:tcPr>
            <w:tcW w:w="842" w:type="pct"/>
            <w:tcBorders>
              <w:top w:val="nil"/>
              <w:left w:val="nil"/>
              <w:bottom w:val="nil"/>
              <w:right w:val="nil"/>
            </w:tcBorders>
            <w:shd w:val="clear" w:color="auto" w:fill="auto"/>
            <w:noWrap/>
            <w:vAlign w:val="bottom"/>
            <w:hideMark/>
          </w:tcPr>
          <w:p w14:paraId="33C81D1B"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n=153</w:t>
            </w:r>
          </w:p>
        </w:tc>
        <w:tc>
          <w:tcPr>
            <w:tcW w:w="803" w:type="pct"/>
            <w:tcBorders>
              <w:top w:val="nil"/>
              <w:left w:val="nil"/>
              <w:bottom w:val="nil"/>
              <w:right w:val="nil"/>
            </w:tcBorders>
            <w:shd w:val="clear" w:color="auto" w:fill="auto"/>
            <w:noWrap/>
            <w:vAlign w:val="bottom"/>
            <w:hideMark/>
          </w:tcPr>
          <w:p w14:paraId="1F117312"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n=334</w:t>
            </w:r>
          </w:p>
        </w:tc>
      </w:tr>
      <w:tr w:rsidR="00095768" w:rsidRPr="00095768" w14:paraId="0DF16E5F" w14:textId="77777777" w:rsidTr="00095768">
        <w:trPr>
          <w:trHeight w:val="288"/>
        </w:trPr>
        <w:tc>
          <w:tcPr>
            <w:tcW w:w="1099" w:type="pct"/>
            <w:tcBorders>
              <w:top w:val="nil"/>
              <w:left w:val="nil"/>
              <w:bottom w:val="nil"/>
              <w:right w:val="nil"/>
            </w:tcBorders>
            <w:shd w:val="clear" w:color="auto" w:fill="auto"/>
            <w:noWrap/>
            <w:vAlign w:val="bottom"/>
            <w:hideMark/>
          </w:tcPr>
          <w:p w14:paraId="4F4962C2" w14:textId="77777777" w:rsidR="00095768" w:rsidRPr="00095768" w:rsidRDefault="00095768" w:rsidP="00095768">
            <w:pPr>
              <w:spacing w:after="0"/>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All sources</w:t>
            </w:r>
          </w:p>
        </w:tc>
        <w:tc>
          <w:tcPr>
            <w:tcW w:w="427" w:type="pct"/>
            <w:tcBorders>
              <w:top w:val="nil"/>
              <w:left w:val="nil"/>
              <w:bottom w:val="nil"/>
              <w:right w:val="nil"/>
            </w:tcBorders>
            <w:shd w:val="clear" w:color="auto" w:fill="auto"/>
            <w:noWrap/>
            <w:vAlign w:val="bottom"/>
            <w:hideMark/>
          </w:tcPr>
          <w:p w14:paraId="4D5E90CE"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100.00</w:t>
            </w:r>
          </w:p>
        </w:tc>
        <w:tc>
          <w:tcPr>
            <w:tcW w:w="427" w:type="pct"/>
            <w:tcBorders>
              <w:top w:val="nil"/>
              <w:left w:val="nil"/>
              <w:bottom w:val="nil"/>
              <w:right w:val="nil"/>
            </w:tcBorders>
            <w:shd w:val="clear" w:color="auto" w:fill="auto"/>
            <w:noWrap/>
            <w:vAlign w:val="bottom"/>
            <w:hideMark/>
          </w:tcPr>
          <w:p w14:paraId="3FE610FE"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427" w:type="pct"/>
            <w:tcBorders>
              <w:top w:val="nil"/>
              <w:left w:val="nil"/>
              <w:bottom w:val="nil"/>
              <w:right w:val="nil"/>
            </w:tcBorders>
            <w:shd w:val="clear" w:color="auto" w:fill="auto"/>
            <w:noWrap/>
            <w:vAlign w:val="bottom"/>
            <w:hideMark/>
          </w:tcPr>
          <w:p w14:paraId="7826B829"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100.00</w:t>
            </w:r>
          </w:p>
        </w:tc>
        <w:tc>
          <w:tcPr>
            <w:tcW w:w="548" w:type="pct"/>
            <w:tcBorders>
              <w:top w:val="nil"/>
              <w:left w:val="nil"/>
              <w:bottom w:val="nil"/>
              <w:right w:val="nil"/>
            </w:tcBorders>
            <w:shd w:val="clear" w:color="auto" w:fill="auto"/>
            <w:noWrap/>
            <w:vAlign w:val="bottom"/>
            <w:hideMark/>
          </w:tcPr>
          <w:p w14:paraId="0073FF93"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100.00</w:t>
            </w:r>
          </w:p>
        </w:tc>
        <w:tc>
          <w:tcPr>
            <w:tcW w:w="427" w:type="pct"/>
            <w:tcBorders>
              <w:top w:val="nil"/>
              <w:left w:val="nil"/>
              <w:bottom w:val="nil"/>
              <w:right w:val="nil"/>
            </w:tcBorders>
            <w:shd w:val="clear" w:color="auto" w:fill="auto"/>
            <w:noWrap/>
            <w:vAlign w:val="bottom"/>
            <w:hideMark/>
          </w:tcPr>
          <w:p w14:paraId="7D20557C"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842" w:type="pct"/>
            <w:tcBorders>
              <w:top w:val="nil"/>
              <w:left w:val="nil"/>
              <w:bottom w:val="nil"/>
              <w:right w:val="nil"/>
            </w:tcBorders>
            <w:shd w:val="clear" w:color="auto" w:fill="auto"/>
            <w:noWrap/>
            <w:vAlign w:val="bottom"/>
            <w:hideMark/>
          </w:tcPr>
          <w:p w14:paraId="5C7C60E5"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100.00</w:t>
            </w:r>
          </w:p>
        </w:tc>
        <w:tc>
          <w:tcPr>
            <w:tcW w:w="803" w:type="pct"/>
            <w:tcBorders>
              <w:top w:val="nil"/>
              <w:left w:val="nil"/>
              <w:bottom w:val="nil"/>
              <w:right w:val="nil"/>
            </w:tcBorders>
            <w:shd w:val="clear" w:color="auto" w:fill="auto"/>
            <w:noWrap/>
            <w:vAlign w:val="bottom"/>
            <w:hideMark/>
          </w:tcPr>
          <w:p w14:paraId="2A9E1752"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100.00</w:t>
            </w:r>
          </w:p>
        </w:tc>
      </w:tr>
      <w:tr w:rsidR="00095768" w:rsidRPr="00095768" w14:paraId="1035AA7B" w14:textId="77777777" w:rsidTr="00095768">
        <w:trPr>
          <w:trHeight w:val="288"/>
        </w:trPr>
        <w:tc>
          <w:tcPr>
            <w:tcW w:w="1099" w:type="pct"/>
            <w:tcBorders>
              <w:top w:val="nil"/>
              <w:left w:val="nil"/>
              <w:bottom w:val="nil"/>
              <w:right w:val="nil"/>
            </w:tcBorders>
            <w:shd w:val="clear" w:color="auto" w:fill="auto"/>
            <w:noWrap/>
            <w:vAlign w:val="bottom"/>
            <w:hideMark/>
          </w:tcPr>
          <w:p w14:paraId="0223F43A" w14:textId="77777777" w:rsidR="00095768" w:rsidRPr="00095768" w:rsidRDefault="00095768" w:rsidP="00095768">
            <w:pPr>
              <w:spacing w:after="0"/>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Informal</w:t>
            </w:r>
          </w:p>
        </w:tc>
        <w:tc>
          <w:tcPr>
            <w:tcW w:w="427" w:type="pct"/>
            <w:tcBorders>
              <w:top w:val="nil"/>
              <w:left w:val="nil"/>
              <w:bottom w:val="nil"/>
              <w:right w:val="nil"/>
            </w:tcBorders>
            <w:shd w:val="clear" w:color="auto" w:fill="auto"/>
            <w:noWrap/>
            <w:vAlign w:val="bottom"/>
            <w:hideMark/>
          </w:tcPr>
          <w:p w14:paraId="385D1403" w14:textId="77777777" w:rsidR="00095768" w:rsidRPr="00095768" w:rsidRDefault="00095768" w:rsidP="00095768">
            <w:pPr>
              <w:spacing w:after="0"/>
              <w:rPr>
                <w:rFonts w:ascii="Calibri" w:eastAsia="Times New Roman" w:hAnsi="Calibri" w:cs="Calibri"/>
                <w:color w:val="000000"/>
                <w:sz w:val="22"/>
                <w:szCs w:val="22"/>
                <w:lang w:val="fr-FR" w:eastAsia="fr-FR"/>
              </w:rPr>
            </w:pPr>
          </w:p>
        </w:tc>
        <w:tc>
          <w:tcPr>
            <w:tcW w:w="427" w:type="pct"/>
            <w:tcBorders>
              <w:top w:val="nil"/>
              <w:left w:val="nil"/>
              <w:bottom w:val="nil"/>
              <w:right w:val="nil"/>
            </w:tcBorders>
            <w:shd w:val="clear" w:color="auto" w:fill="auto"/>
            <w:noWrap/>
            <w:vAlign w:val="bottom"/>
            <w:hideMark/>
          </w:tcPr>
          <w:p w14:paraId="65D580BF"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427" w:type="pct"/>
            <w:tcBorders>
              <w:top w:val="nil"/>
              <w:left w:val="nil"/>
              <w:bottom w:val="nil"/>
              <w:right w:val="nil"/>
            </w:tcBorders>
            <w:shd w:val="clear" w:color="auto" w:fill="auto"/>
            <w:noWrap/>
            <w:vAlign w:val="bottom"/>
            <w:hideMark/>
          </w:tcPr>
          <w:p w14:paraId="4AB8FF12"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548" w:type="pct"/>
            <w:tcBorders>
              <w:top w:val="nil"/>
              <w:left w:val="nil"/>
              <w:bottom w:val="nil"/>
              <w:right w:val="nil"/>
            </w:tcBorders>
            <w:shd w:val="clear" w:color="auto" w:fill="auto"/>
            <w:noWrap/>
            <w:vAlign w:val="bottom"/>
            <w:hideMark/>
          </w:tcPr>
          <w:p w14:paraId="361E2DA8"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427" w:type="pct"/>
            <w:tcBorders>
              <w:top w:val="nil"/>
              <w:left w:val="nil"/>
              <w:bottom w:val="nil"/>
              <w:right w:val="nil"/>
            </w:tcBorders>
            <w:shd w:val="clear" w:color="auto" w:fill="auto"/>
            <w:noWrap/>
            <w:vAlign w:val="bottom"/>
            <w:hideMark/>
          </w:tcPr>
          <w:p w14:paraId="3ECA50E3"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42" w:type="pct"/>
            <w:tcBorders>
              <w:top w:val="nil"/>
              <w:left w:val="nil"/>
              <w:bottom w:val="nil"/>
              <w:right w:val="nil"/>
            </w:tcBorders>
            <w:shd w:val="clear" w:color="auto" w:fill="auto"/>
            <w:noWrap/>
            <w:vAlign w:val="bottom"/>
            <w:hideMark/>
          </w:tcPr>
          <w:p w14:paraId="728DD98C"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03" w:type="pct"/>
            <w:tcBorders>
              <w:top w:val="nil"/>
              <w:left w:val="nil"/>
              <w:bottom w:val="nil"/>
              <w:right w:val="nil"/>
            </w:tcBorders>
            <w:shd w:val="clear" w:color="auto" w:fill="auto"/>
            <w:noWrap/>
            <w:vAlign w:val="bottom"/>
            <w:hideMark/>
          </w:tcPr>
          <w:p w14:paraId="46DFBBD5"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r>
      <w:tr w:rsidR="00095768" w:rsidRPr="00095768" w14:paraId="2483CE93" w14:textId="77777777" w:rsidTr="00095768">
        <w:trPr>
          <w:trHeight w:val="288"/>
        </w:trPr>
        <w:tc>
          <w:tcPr>
            <w:tcW w:w="1099" w:type="pct"/>
            <w:tcBorders>
              <w:top w:val="nil"/>
              <w:left w:val="nil"/>
              <w:bottom w:val="nil"/>
              <w:right w:val="nil"/>
            </w:tcBorders>
            <w:shd w:val="clear" w:color="auto" w:fill="auto"/>
            <w:noWrap/>
            <w:vAlign w:val="bottom"/>
            <w:hideMark/>
          </w:tcPr>
          <w:p w14:paraId="75D9EAD3"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r w:rsidRPr="00095768">
              <w:rPr>
                <w:rFonts w:ascii="Calibri" w:eastAsia="Times New Roman" w:hAnsi="Calibri" w:cs="Calibri"/>
                <w:i/>
                <w:iCs/>
                <w:color w:val="000000"/>
                <w:sz w:val="22"/>
                <w:szCs w:val="22"/>
                <w:lang w:val="fr-FR" w:eastAsia="fr-FR"/>
              </w:rPr>
              <w:t>WKP</w:t>
            </w:r>
          </w:p>
        </w:tc>
        <w:tc>
          <w:tcPr>
            <w:tcW w:w="427" w:type="pct"/>
            <w:tcBorders>
              <w:top w:val="nil"/>
              <w:left w:val="nil"/>
              <w:bottom w:val="nil"/>
              <w:right w:val="nil"/>
            </w:tcBorders>
            <w:shd w:val="clear" w:color="auto" w:fill="auto"/>
            <w:noWrap/>
            <w:vAlign w:val="bottom"/>
            <w:hideMark/>
          </w:tcPr>
          <w:p w14:paraId="44129F0E"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70.23</w:t>
            </w:r>
          </w:p>
        </w:tc>
        <w:tc>
          <w:tcPr>
            <w:tcW w:w="427" w:type="pct"/>
            <w:tcBorders>
              <w:top w:val="nil"/>
              <w:left w:val="nil"/>
              <w:bottom w:val="nil"/>
              <w:right w:val="nil"/>
            </w:tcBorders>
            <w:shd w:val="clear" w:color="auto" w:fill="auto"/>
            <w:noWrap/>
            <w:vAlign w:val="bottom"/>
            <w:hideMark/>
          </w:tcPr>
          <w:p w14:paraId="196CC669"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427" w:type="pct"/>
            <w:tcBorders>
              <w:top w:val="nil"/>
              <w:left w:val="nil"/>
              <w:bottom w:val="nil"/>
              <w:right w:val="nil"/>
            </w:tcBorders>
            <w:shd w:val="clear" w:color="auto" w:fill="auto"/>
            <w:noWrap/>
            <w:vAlign w:val="bottom"/>
            <w:hideMark/>
          </w:tcPr>
          <w:p w14:paraId="7D047A50"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70.26</w:t>
            </w:r>
          </w:p>
        </w:tc>
        <w:tc>
          <w:tcPr>
            <w:tcW w:w="548" w:type="pct"/>
            <w:tcBorders>
              <w:top w:val="nil"/>
              <w:left w:val="nil"/>
              <w:bottom w:val="nil"/>
              <w:right w:val="nil"/>
            </w:tcBorders>
            <w:shd w:val="clear" w:color="auto" w:fill="auto"/>
            <w:noWrap/>
            <w:vAlign w:val="bottom"/>
            <w:hideMark/>
          </w:tcPr>
          <w:p w14:paraId="2FD55CE7"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70.20</w:t>
            </w:r>
          </w:p>
        </w:tc>
        <w:tc>
          <w:tcPr>
            <w:tcW w:w="427" w:type="pct"/>
            <w:tcBorders>
              <w:top w:val="nil"/>
              <w:left w:val="nil"/>
              <w:bottom w:val="nil"/>
              <w:right w:val="nil"/>
            </w:tcBorders>
            <w:shd w:val="clear" w:color="auto" w:fill="auto"/>
            <w:noWrap/>
            <w:vAlign w:val="bottom"/>
            <w:hideMark/>
          </w:tcPr>
          <w:p w14:paraId="2759DDEA"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842" w:type="pct"/>
            <w:tcBorders>
              <w:top w:val="nil"/>
              <w:left w:val="nil"/>
              <w:bottom w:val="nil"/>
              <w:right w:val="nil"/>
            </w:tcBorders>
            <w:shd w:val="clear" w:color="auto" w:fill="auto"/>
            <w:noWrap/>
            <w:vAlign w:val="bottom"/>
            <w:hideMark/>
          </w:tcPr>
          <w:p w14:paraId="3DA3253C"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67.97</w:t>
            </w:r>
          </w:p>
        </w:tc>
        <w:tc>
          <w:tcPr>
            <w:tcW w:w="803" w:type="pct"/>
            <w:tcBorders>
              <w:top w:val="nil"/>
              <w:left w:val="nil"/>
              <w:bottom w:val="nil"/>
              <w:right w:val="nil"/>
            </w:tcBorders>
            <w:shd w:val="clear" w:color="auto" w:fill="auto"/>
            <w:noWrap/>
            <w:vAlign w:val="bottom"/>
            <w:hideMark/>
          </w:tcPr>
          <w:p w14:paraId="36D856B9"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71.26</w:t>
            </w:r>
          </w:p>
        </w:tc>
      </w:tr>
      <w:tr w:rsidR="00095768" w:rsidRPr="00095768" w14:paraId="250ADA96" w14:textId="77777777" w:rsidTr="00095768">
        <w:trPr>
          <w:trHeight w:val="288"/>
        </w:trPr>
        <w:tc>
          <w:tcPr>
            <w:tcW w:w="1099" w:type="pct"/>
            <w:tcBorders>
              <w:top w:val="nil"/>
              <w:left w:val="nil"/>
              <w:bottom w:val="nil"/>
              <w:right w:val="nil"/>
            </w:tcBorders>
            <w:shd w:val="clear" w:color="auto" w:fill="auto"/>
            <w:noWrap/>
            <w:vAlign w:val="bottom"/>
            <w:hideMark/>
          </w:tcPr>
          <w:p w14:paraId="6F98AF4C"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r w:rsidRPr="00095768">
              <w:rPr>
                <w:rFonts w:ascii="Calibri" w:eastAsia="Times New Roman" w:hAnsi="Calibri" w:cs="Calibri"/>
                <w:i/>
                <w:iCs/>
                <w:color w:val="000000"/>
                <w:sz w:val="22"/>
                <w:szCs w:val="22"/>
                <w:lang w:val="fr-FR" w:eastAsia="fr-FR"/>
              </w:rPr>
              <w:t>Relatives</w:t>
            </w:r>
          </w:p>
        </w:tc>
        <w:tc>
          <w:tcPr>
            <w:tcW w:w="427" w:type="pct"/>
            <w:tcBorders>
              <w:top w:val="nil"/>
              <w:left w:val="nil"/>
              <w:bottom w:val="nil"/>
              <w:right w:val="nil"/>
            </w:tcBorders>
            <w:shd w:val="clear" w:color="auto" w:fill="auto"/>
            <w:noWrap/>
            <w:vAlign w:val="bottom"/>
            <w:hideMark/>
          </w:tcPr>
          <w:p w14:paraId="4F89E4E7"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41.68</w:t>
            </w:r>
          </w:p>
        </w:tc>
        <w:tc>
          <w:tcPr>
            <w:tcW w:w="427" w:type="pct"/>
            <w:tcBorders>
              <w:top w:val="nil"/>
              <w:left w:val="nil"/>
              <w:bottom w:val="nil"/>
              <w:right w:val="nil"/>
            </w:tcBorders>
            <w:shd w:val="clear" w:color="auto" w:fill="auto"/>
            <w:noWrap/>
            <w:vAlign w:val="bottom"/>
            <w:hideMark/>
          </w:tcPr>
          <w:p w14:paraId="781F5A24"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427" w:type="pct"/>
            <w:tcBorders>
              <w:top w:val="nil"/>
              <w:left w:val="nil"/>
              <w:bottom w:val="nil"/>
              <w:right w:val="nil"/>
            </w:tcBorders>
            <w:shd w:val="clear" w:color="auto" w:fill="auto"/>
            <w:noWrap/>
            <w:vAlign w:val="bottom"/>
            <w:hideMark/>
          </w:tcPr>
          <w:p w14:paraId="65D20A51"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41.81</w:t>
            </w:r>
          </w:p>
        </w:tc>
        <w:tc>
          <w:tcPr>
            <w:tcW w:w="548" w:type="pct"/>
            <w:tcBorders>
              <w:top w:val="nil"/>
              <w:left w:val="nil"/>
              <w:bottom w:val="nil"/>
              <w:right w:val="nil"/>
            </w:tcBorders>
            <w:shd w:val="clear" w:color="auto" w:fill="auto"/>
            <w:noWrap/>
            <w:vAlign w:val="bottom"/>
            <w:hideMark/>
          </w:tcPr>
          <w:p w14:paraId="45E2AD5A"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41.57</w:t>
            </w:r>
          </w:p>
        </w:tc>
        <w:tc>
          <w:tcPr>
            <w:tcW w:w="427" w:type="pct"/>
            <w:tcBorders>
              <w:top w:val="nil"/>
              <w:left w:val="nil"/>
              <w:bottom w:val="nil"/>
              <w:right w:val="nil"/>
            </w:tcBorders>
            <w:shd w:val="clear" w:color="auto" w:fill="auto"/>
            <w:noWrap/>
            <w:vAlign w:val="bottom"/>
            <w:hideMark/>
          </w:tcPr>
          <w:p w14:paraId="24212D10"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842" w:type="pct"/>
            <w:tcBorders>
              <w:top w:val="nil"/>
              <w:left w:val="nil"/>
              <w:bottom w:val="nil"/>
              <w:right w:val="nil"/>
            </w:tcBorders>
            <w:shd w:val="clear" w:color="auto" w:fill="auto"/>
            <w:noWrap/>
            <w:vAlign w:val="bottom"/>
            <w:hideMark/>
          </w:tcPr>
          <w:p w14:paraId="27CA90B6"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47.06</w:t>
            </w:r>
          </w:p>
        </w:tc>
        <w:tc>
          <w:tcPr>
            <w:tcW w:w="803" w:type="pct"/>
            <w:tcBorders>
              <w:top w:val="nil"/>
              <w:left w:val="nil"/>
              <w:bottom w:val="nil"/>
              <w:right w:val="nil"/>
            </w:tcBorders>
            <w:shd w:val="clear" w:color="auto" w:fill="auto"/>
            <w:noWrap/>
            <w:vAlign w:val="bottom"/>
            <w:hideMark/>
          </w:tcPr>
          <w:p w14:paraId="211E5E0D"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39.22</w:t>
            </w:r>
          </w:p>
        </w:tc>
      </w:tr>
      <w:tr w:rsidR="00095768" w:rsidRPr="00095768" w14:paraId="59ECACDB" w14:textId="77777777" w:rsidTr="00095768">
        <w:trPr>
          <w:trHeight w:val="288"/>
        </w:trPr>
        <w:tc>
          <w:tcPr>
            <w:tcW w:w="1099" w:type="pct"/>
            <w:tcBorders>
              <w:top w:val="nil"/>
              <w:left w:val="nil"/>
              <w:bottom w:val="nil"/>
              <w:right w:val="nil"/>
            </w:tcBorders>
            <w:shd w:val="clear" w:color="auto" w:fill="auto"/>
            <w:noWrap/>
            <w:vAlign w:val="bottom"/>
            <w:hideMark/>
          </w:tcPr>
          <w:p w14:paraId="2C70795F"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r w:rsidRPr="00095768">
              <w:rPr>
                <w:rFonts w:ascii="Calibri" w:eastAsia="Times New Roman" w:hAnsi="Calibri" w:cs="Calibri"/>
                <w:i/>
                <w:iCs/>
                <w:color w:val="000000"/>
                <w:sz w:val="22"/>
                <w:szCs w:val="22"/>
                <w:lang w:val="fr-FR" w:eastAsia="fr-FR"/>
              </w:rPr>
              <w:t>Labour</w:t>
            </w:r>
          </w:p>
        </w:tc>
        <w:tc>
          <w:tcPr>
            <w:tcW w:w="427" w:type="pct"/>
            <w:tcBorders>
              <w:top w:val="nil"/>
              <w:left w:val="nil"/>
              <w:bottom w:val="nil"/>
              <w:right w:val="nil"/>
            </w:tcBorders>
            <w:shd w:val="clear" w:color="auto" w:fill="auto"/>
            <w:noWrap/>
            <w:vAlign w:val="bottom"/>
            <w:hideMark/>
          </w:tcPr>
          <w:p w14:paraId="71ECF2EC"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17.04</w:t>
            </w:r>
          </w:p>
        </w:tc>
        <w:tc>
          <w:tcPr>
            <w:tcW w:w="427" w:type="pct"/>
            <w:tcBorders>
              <w:top w:val="nil"/>
              <w:left w:val="nil"/>
              <w:bottom w:val="nil"/>
              <w:right w:val="nil"/>
            </w:tcBorders>
            <w:shd w:val="clear" w:color="auto" w:fill="auto"/>
            <w:noWrap/>
            <w:vAlign w:val="bottom"/>
            <w:hideMark/>
          </w:tcPr>
          <w:p w14:paraId="2A303787"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p>
        </w:tc>
        <w:tc>
          <w:tcPr>
            <w:tcW w:w="427" w:type="pct"/>
            <w:tcBorders>
              <w:top w:val="nil"/>
              <w:left w:val="nil"/>
              <w:bottom w:val="nil"/>
              <w:right w:val="nil"/>
            </w:tcBorders>
            <w:shd w:val="clear" w:color="auto" w:fill="auto"/>
            <w:noWrap/>
            <w:vAlign w:val="bottom"/>
            <w:hideMark/>
          </w:tcPr>
          <w:p w14:paraId="16CF102F"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21.12</w:t>
            </w:r>
          </w:p>
        </w:tc>
        <w:tc>
          <w:tcPr>
            <w:tcW w:w="548" w:type="pct"/>
            <w:tcBorders>
              <w:top w:val="nil"/>
              <w:left w:val="nil"/>
              <w:bottom w:val="nil"/>
              <w:right w:val="nil"/>
            </w:tcBorders>
            <w:shd w:val="clear" w:color="auto" w:fill="auto"/>
            <w:noWrap/>
            <w:vAlign w:val="bottom"/>
            <w:hideMark/>
          </w:tcPr>
          <w:p w14:paraId="20ACA242"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13.33</w:t>
            </w:r>
          </w:p>
        </w:tc>
        <w:tc>
          <w:tcPr>
            <w:tcW w:w="427" w:type="pct"/>
            <w:tcBorders>
              <w:top w:val="nil"/>
              <w:left w:val="nil"/>
              <w:bottom w:val="nil"/>
              <w:right w:val="nil"/>
            </w:tcBorders>
            <w:shd w:val="clear" w:color="auto" w:fill="auto"/>
            <w:noWrap/>
            <w:vAlign w:val="bottom"/>
            <w:hideMark/>
          </w:tcPr>
          <w:p w14:paraId="19D986E2"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p>
        </w:tc>
        <w:tc>
          <w:tcPr>
            <w:tcW w:w="842" w:type="pct"/>
            <w:tcBorders>
              <w:top w:val="nil"/>
              <w:left w:val="nil"/>
              <w:bottom w:val="nil"/>
              <w:right w:val="nil"/>
            </w:tcBorders>
            <w:shd w:val="clear" w:color="auto" w:fill="auto"/>
            <w:noWrap/>
            <w:vAlign w:val="bottom"/>
            <w:hideMark/>
          </w:tcPr>
          <w:p w14:paraId="49185BD3"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3.92</w:t>
            </w:r>
          </w:p>
        </w:tc>
        <w:tc>
          <w:tcPr>
            <w:tcW w:w="803" w:type="pct"/>
            <w:tcBorders>
              <w:top w:val="nil"/>
              <w:left w:val="nil"/>
              <w:bottom w:val="nil"/>
              <w:right w:val="nil"/>
            </w:tcBorders>
            <w:shd w:val="clear" w:color="auto" w:fill="auto"/>
            <w:noWrap/>
            <w:vAlign w:val="bottom"/>
            <w:hideMark/>
          </w:tcPr>
          <w:p w14:paraId="468791AE"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23.05</w:t>
            </w:r>
          </w:p>
        </w:tc>
      </w:tr>
      <w:tr w:rsidR="00095768" w:rsidRPr="00095768" w14:paraId="10540356" w14:textId="77777777" w:rsidTr="00095768">
        <w:trPr>
          <w:trHeight w:val="288"/>
        </w:trPr>
        <w:tc>
          <w:tcPr>
            <w:tcW w:w="1099" w:type="pct"/>
            <w:tcBorders>
              <w:top w:val="nil"/>
              <w:left w:val="nil"/>
              <w:bottom w:val="nil"/>
              <w:right w:val="nil"/>
            </w:tcBorders>
            <w:shd w:val="clear" w:color="auto" w:fill="auto"/>
            <w:noWrap/>
            <w:vAlign w:val="bottom"/>
            <w:hideMark/>
          </w:tcPr>
          <w:p w14:paraId="67B035EE"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proofErr w:type="spellStart"/>
            <w:r w:rsidRPr="00095768">
              <w:rPr>
                <w:rFonts w:ascii="Calibri" w:eastAsia="Times New Roman" w:hAnsi="Calibri" w:cs="Calibri"/>
                <w:i/>
                <w:iCs/>
                <w:color w:val="000000"/>
                <w:sz w:val="22"/>
                <w:szCs w:val="22"/>
                <w:lang w:val="fr-FR" w:eastAsia="fr-FR"/>
              </w:rPr>
              <w:t>Others</w:t>
            </w:r>
            <w:proofErr w:type="spellEnd"/>
          </w:p>
        </w:tc>
        <w:tc>
          <w:tcPr>
            <w:tcW w:w="427" w:type="pct"/>
            <w:tcBorders>
              <w:top w:val="nil"/>
              <w:left w:val="nil"/>
              <w:bottom w:val="nil"/>
              <w:right w:val="nil"/>
            </w:tcBorders>
            <w:shd w:val="clear" w:color="auto" w:fill="auto"/>
            <w:noWrap/>
            <w:vAlign w:val="bottom"/>
            <w:hideMark/>
          </w:tcPr>
          <w:p w14:paraId="6E11ECA3"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11.09</w:t>
            </w:r>
          </w:p>
        </w:tc>
        <w:tc>
          <w:tcPr>
            <w:tcW w:w="427" w:type="pct"/>
            <w:tcBorders>
              <w:top w:val="nil"/>
              <w:left w:val="nil"/>
              <w:bottom w:val="nil"/>
              <w:right w:val="nil"/>
            </w:tcBorders>
            <w:shd w:val="clear" w:color="auto" w:fill="auto"/>
            <w:noWrap/>
            <w:vAlign w:val="bottom"/>
            <w:hideMark/>
          </w:tcPr>
          <w:p w14:paraId="40B008C0"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p>
        </w:tc>
        <w:tc>
          <w:tcPr>
            <w:tcW w:w="427" w:type="pct"/>
            <w:tcBorders>
              <w:top w:val="nil"/>
              <w:left w:val="nil"/>
              <w:bottom w:val="nil"/>
              <w:right w:val="nil"/>
            </w:tcBorders>
            <w:shd w:val="clear" w:color="auto" w:fill="auto"/>
            <w:noWrap/>
            <w:vAlign w:val="bottom"/>
            <w:hideMark/>
          </w:tcPr>
          <w:p w14:paraId="3C4C7801"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11.21</w:t>
            </w:r>
          </w:p>
        </w:tc>
        <w:tc>
          <w:tcPr>
            <w:tcW w:w="548" w:type="pct"/>
            <w:tcBorders>
              <w:top w:val="nil"/>
              <w:left w:val="nil"/>
              <w:bottom w:val="nil"/>
              <w:right w:val="nil"/>
            </w:tcBorders>
            <w:shd w:val="clear" w:color="auto" w:fill="auto"/>
            <w:noWrap/>
            <w:vAlign w:val="bottom"/>
            <w:hideMark/>
          </w:tcPr>
          <w:p w14:paraId="5CA4986D"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10.98</w:t>
            </w:r>
          </w:p>
        </w:tc>
        <w:tc>
          <w:tcPr>
            <w:tcW w:w="427" w:type="pct"/>
            <w:tcBorders>
              <w:top w:val="nil"/>
              <w:left w:val="nil"/>
              <w:bottom w:val="nil"/>
              <w:right w:val="nil"/>
            </w:tcBorders>
            <w:shd w:val="clear" w:color="auto" w:fill="auto"/>
            <w:noWrap/>
            <w:vAlign w:val="bottom"/>
            <w:hideMark/>
          </w:tcPr>
          <w:p w14:paraId="3178742D"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p>
        </w:tc>
        <w:tc>
          <w:tcPr>
            <w:tcW w:w="842" w:type="pct"/>
            <w:tcBorders>
              <w:top w:val="nil"/>
              <w:left w:val="nil"/>
              <w:bottom w:val="nil"/>
              <w:right w:val="nil"/>
            </w:tcBorders>
            <w:shd w:val="clear" w:color="auto" w:fill="auto"/>
            <w:noWrap/>
            <w:vAlign w:val="bottom"/>
            <w:hideMark/>
          </w:tcPr>
          <w:p w14:paraId="750DAF5F"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11.76</w:t>
            </w:r>
          </w:p>
        </w:tc>
        <w:tc>
          <w:tcPr>
            <w:tcW w:w="803" w:type="pct"/>
            <w:tcBorders>
              <w:top w:val="nil"/>
              <w:left w:val="nil"/>
              <w:bottom w:val="nil"/>
              <w:right w:val="nil"/>
            </w:tcBorders>
            <w:shd w:val="clear" w:color="auto" w:fill="auto"/>
            <w:noWrap/>
            <w:vAlign w:val="bottom"/>
            <w:hideMark/>
          </w:tcPr>
          <w:p w14:paraId="290DC53A"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10.78</w:t>
            </w:r>
          </w:p>
        </w:tc>
      </w:tr>
      <w:tr w:rsidR="00095768" w:rsidRPr="00095768" w14:paraId="7B898DC9" w14:textId="77777777" w:rsidTr="00095768">
        <w:trPr>
          <w:trHeight w:val="288"/>
        </w:trPr>
        <w:tc>
          <w:tcPr>
            <w:tcW w:w="1099" w:type="pct"/>
            <w:tcBorders>
              <w:top w:val="nil"/>
              <w:left w:val="nil"/>
              <w:bottom w:val="nil"/>
              <w:right w:val="nil"/>
            </w:tcBorders>
            <w:shd w:val="clear" w:color="auto" w:fill="auto"/>
            <w:noWrap/>
            <w:vAlign w:val="bottom"/>
            <w:hideMark/>
          </w:tcPr>
          <w:p w14:paraId="0210B5BD" w14:textId="77777777" w:rsidR="00095768" w:rsidRPr="00095768" w:rsidRDefault="00095768" w:rsidP="00095768">
            <w:pPr>
              <w:spacing w:after="0"/>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xml:space="preserve">Semi </w:t>
            </w:r>
            <w:proofErr w:type="spellStart"/>
            <w:r w:rsidRPr="00095768">
              <w:rPr>
                <w:rFonts w:ascii="Calibri" w:eastAsia="Times New Roman" w:hAnsi="Calibri" w:cs="Calibri"/>
                <w:color w:val="000000"/>
                <w:sz w:val="22"/>
                <w:szCs w:val="22"/>
                <w:lang w:val="fr-FR" w:eastAsia="fr-FR"/>
              </w:rPr>
              <w:t>formal</w:t>
            </w:r>
            <w:proofErr w:type="spellEnd"/>
          </w:p>
        </w:tc>
        <w:tc>
          <w:tcPr>
            <w:tcW w:w="427" w:type="pct"/>
            <w:tcBorders>
              <w:top w:val="nil"/>
              <w:left w:val="nil"/>
              <w:bottom w:val="nil"/>
              <w:right w:val="nil"/>
            </w:tcBorders>
            <w:shd w:val="clear" w:color="auto" w:fill="auto"/>
            <w:noWrap/>
            <w:vAlign w:val="bottom"/>
            <w:hideMark/>
          </w:tcPr>
          <w:p w14:paraId="5618CFAD" w14:textId="77777777" w:rsidR="00095768" w:rsidRPr="00095768" w:rsidRDefault="00095768" w:rsidP="00095768">
            <w:pPr>
              <w:spacing w:after="0"/>
              <w:rPr>
                <w:rFonts w:ascii="Calibri" w:eastAsia="Times New Roman" w:hAnsi="Calibri" w:cs="Calibri"/>
                <w:color w:val="000000"/>
                <w:sz w:val="22"/>
                <w:szCs w:val="22"/>
                <w:lang w:val="fr-FR" w:eastAsia="fr-FR"/>
              </w:rPr>
            </w:pPr>
          </w:p>
        </w:tc>
        <w:tc>
          <w:tcPr>
            <w:tcW w:w="427" w:type="pct"/>
            <w:tcBorders>
              <w:top w:val="nil"/>
              <w:left w:val="nil"/>
              <w:bottom w:val="nil"/>
              <w:right w:val="nil"/>
            </w:tcBorders>
            <w:shd w:val="clear" w:color="auto" w:fill="auto"/>
            <w:noWrap/>
            <w:vAlign w:val="bottom"/>
            <w:hideMark/>
          </w:tcPr>
          <w:p w14:paraId="10E40CA6"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427" w:type="pct"/>
            <w:tcBorders>
              <w:top w:val="nil"/>
              <w:left w:val="nil"/>
              <w:bottom w:val="nil"/>
              <w:right w:val="nil"/>
            </w:tcBorders>
            <w:shd w:val="clear" w:color="auto" w:fill="auto"/>
            <w:noWrap/>
            <w:vAlign w:val="bottom"/>
            <w:hideMark/>
          </w:tcPr>
          <w:p w14:paraId="17C5FCE5"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548" w:type="pct"/>
            <w:tcBorders>
              <w:top w:val="nil"/>
              <w:left w:val="nil"/>
              <w:bottom w:val="nil"/>
              <w:right w:val="nil"/>
            </w:tcBorders>
            <w:shd w:val="clear" w:color="auto" w:fill="auto"/>
            <w:noWrap/>
            <w:vAlign w:val="bottom"/>
            <w:hideMark/>
          </w:tcPr>
          <w:p w14:paraId="2183A6B3"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427" w:type="pct"/>
            <w:tcBorders>
              <w:top w:val="nil"/>
              <w:left w:val="nil"/>
              <w:bottom w:val="nil"/>
              <w:right w:val="nil"/>
            </w:tcBorders>
            <w:shd w:val="clear" w:color="auto" w:fill="auto"/>
            <w:noWrap/>
            <w:vAlign w:val="bottom"/>
            <w:hideMark/>
          </w:tcPr>
          <w:p w14:paraId="529EDBC5"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42" w:type="pct"/>
            <w:tcBorders>
              <w:top w:val="nil"/>
              <w:left w:val="nil"/>
              <w:bottom w:val="nil"/>
              <w:right w:val="nil"/>
            </w:tcBorders>
            <w:shd w:val="clear" w:color="auto" w:fill="auto"/>
            <w:noWrap/>
            <w:vAlign w:val="bottom"/>
            <w:hideMark/>
          </w:tcPr>
          <w:p w14:paraId="3361FDFE"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03" w:type="pct"/>
            <w:tcBorders>
              <w:top w:val="nil"/>
              <w:left w:val="nil"/>
              <w:bottom w:val="nil"/>
              <w:right w:val="nil"/>
            </w:tcBorders>
            <w:shd w:val="clear" w:color="auto" w:fill="auto"/>
            <w:noWrap/>
            <w:vAlign w:val="bottom"/>
            <w:hideMark/>
          </w:tcPr>
          <w:p w14:paraId="5159C28D"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r>
      <w:tr w:rsidR="00095768" w:rsidRPr="00095768" w14:paraId="3AC39260" w14:textId="77777777" w:rsidTr="00095768">
        <w:trPr>
          <w:trHeight w:val="288"/>
        </w:trPr>
        <w:tc>
          <w:tcPr>
            <w:tcW w:w="1099" w:type="pct"/>
            <w:tcBorders>
              <w:top w:val="nil"/>
              <w:left w:val="nil"/>
              <w:bottom w:val="nil"/>
              <w:right w:val="nil"/>
            </w:tcBorders>
            <w:shd w:val="clear" w:color="auto" w:fill="auto"/>
            <w:noWrap/>
            <w:vAlign w:val="bottom"/>
            <w:hideMark/>
          </w:tcPr>
          <w:p w14:paraId="67114DCE"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proofErr w:type="spellStart"/>
            <w:r w:rsidRPr="00095768">
              <w:rPr>
                <w:rFonts w:ascii="Calibri" w:eastAsia="Times New Roman" w:hAnsi="Calibri" w:cs="Calibri"/>
                <w:i/>
                <w:iCs/>
                <w:color w:val="000000"/>
                <w:sz w:val="22"/>
                <w:szCs w:val="22"/>
                <w:lang w:val="fr-FR" w:eastAsia="fr-FR"/>
              </w:rPr>
              <w:t>Pawn</w:t>
            </w:r>
            <w:proofErr w:type="spellEnd"/>
            <w:r w:rsidRPr="00095768">
              <w:rPr>
                <w:rFonts w:ascii="Calibri" w:eastAsia="Times New Roman" w:hAnsi="Calibri" w:cs="Calibri"/>
                <w:i/>
                <w:iCs/>
                <w:color w:val="000000"/>
                <w:sz w:val="22"/>
                <w:szCs w:val="22"/>
                <w:lang w:val="fr-FR" w:eastAsia="fr-FR"/>
              </w:rPr>
              <w:t xml:space="preserve"> broker</w:t>
            </w:r>
          </w:p>
        </w:tc>
        <w:tc>
          <w:tcPr>
            <w:tcW w:w="427" w:type="pct"/>
            <w:tcBorders>
              <w:top w:val="nil"/>
              <w:left w:val="nil"/>
              <w:bottom w:val="nil"/>
              <w:right w:val="nil"/>
            </w:tcBorders>
            <w:shd w:val="clear" w:color="auto" w:fill="auto"/>
            <w:noWrap/>
            <w:vAlign w:val="bottom"/>
            <w:hideMark/>
          </w:tcPr>
          <w:p w14:paraId="1DE2C65C"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61.40</w:t>
            </w:r>
          </w:p>
        </w:tc>
        <w:tc>
          <w:tcPr>
            <w:tcW w:w="427" w:type="pct"/>
            <w:tcBorders>
              <w:top w:val="nil"/>
              <w:left w:val="nil"/>
              <w:bottom w:val="nil"/>
              <w:right w:val="nil"/>
            </w:tcBorders>
            <w:shd w:val="clear" w:color="auto" w:fill="auto"/>
            <w:noWrap/>
            <w:vAlign w:val="bottom"/>
            <w:hideMark/>
          </w:tcPr>
          <w:p w14:paraId="1FE067D4"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427" w:type="pct"/>
            <w:tcBorders>
              <w:top w:val="nil"/>
              <w:left w:val="nil"/>
              <w:bottom w:val="nil"/>
              <w:right w:val="nil"/>
            </w:tcBorders>
            <w:shd w:val="clear" w:color="auto" w:fill="auto"/>
            <w:noWrap/>
            <w:vAlign w:val="bottom"/>
            <w:hideMark/>
          </w:tcPr>
          <w:p w14:paraId="7EFBF086"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58.62</w:t>
            </w:r>
          </w:p>
        </w:tc>
        <w:tc>
          <w:tcPr>
            <w:tcW w:w="548" w:type="pct"/>
            <w:tcBorders>
              <w:top w:val="nil"/>
              <w:left w:val="nil"/>
              <w:bottom w:val="nil"/>
              <w:right w:val="nil"/>
            </w:tcBorders>
            <w:shd w:val="clear" w:color="auto" w:fill="auto"/>
            <w:noWrap/>
            <w:vAlign w:val="bottom"/>
            <w:hideMark/>
          </w:tcPr>
          <w:p w14:paraId="224753F2"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63.92</w:t>
            </w:r>
          </w:p>
        </w:tc>
        <w:tc>
          <w:tcPr>
            <w:tcW w:w="427" w:type="pct"/>
            <w:tcBorders>
              <w:top w:val="nil"/>
              <w:left w:val="nil"/>
              <w:bottom w:val="nil"/>
              <w:right w:val="nil"/>
            </w:tcBorders>
            <w:shd w:val="clear" w:color="auto" w:fill="auto"/>
            <w:noWrap/>
            <w:vAlign w:val="bottom"/>
            <w:hideMark/>
          </w:tcPr>
          <w:p w14:paraId="256C29C8"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842" w:type="pct"/>
            <w:tcBorders>
              <w:top w:val="nil"/>
              <w:left w:val="nil"/>
              <w:bottom w:val="nil"/>
              <w:right w:val="nil"/>
            </w:tcBorders>
            <w:shd w:val="clear" w:color="auto" w:fill="auto"/>
            <w:noWrap/>
            <w:vAlign w:val="bottom"/>
            <w:hideMark/>
          </w:tcPr>
          <w:p w14:paraId="418BA058"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64.71</w:t>
            </w:r>
          </w:p>
        </w:tc>
        <w:tc>
          <w:tcPr>
            <w:tcW w:w="803" w:type="pct"/>
            <w:tcBorders>
              <w:top w:val="nil"/>
              <w:left w:val="nil"/>
              <w:bottom w:val="nil"/>
              <w:right w:val="nil"/>
            </w:tcBorders>
            <w:shd w:val="clear" w:color="auto" w:fill="auto"/>
            <w:noWrap/>
            <w:vAlign w:val="bottom"/>
            <w:hideMark/>
          </w:tcPr>
          <w:p w14:paraId="24931CC6"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59.88</w:t>
            </w:r>
          </w:p>
        </w:tc>
      </w:tr>
      <w:tr w:rsidR="00095768" w:rsidRPr="00095768" w14:paraId="734031E2" w14:textId="77777777" w:rsidTr="00095768">
        <w:trPr>
          <w:trHeight w:val="288"/>
        </w:trPr>
        <w:tc>
          <w:tcPr>
            <w:tcW w:w="1099" w:type="pct"/>
            <w:tcBorders>
              <w:top w:val="nil"/>
              <w:left w:val="nil"/>
              <w:bottom w:val="nil"/>
              <w:right w:val="nil"/>
            </w:tcBorders>
            <w:shd w:val="clear" w:color="auto" w:fill="auto"/>
            <w:noWrap/>
            <w:vAlign w:val="bottom"/>
            <w:hideMark/>
          </w:tcPr>
          <w:p w14:paraId="7BD33A6C"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r w:rsidRPr="00095768">
              <w:rPr>
                <w:rFonts w:ascii="Calibri" w:eastAsia="Times New Roman" w:hAnsi="Calibri" w:cs="Calibri"/>
                <w:i/>
                <w:iCs/>
                <w:color w:val="000000"/>
                <w:sz w:val="22"/>
                <w:szCs w:val="22"/>
                <w:lang w:val="fr-FR" w:eastAsia="fr-FR"/>
              </w:rPr>
              <w:t xml:space="preserve">SHG </w:t>
            </w:r>
            <w:proofErr w:type="spellStart"/>
            <w:r w:rsidRPr="00095768">
              <w:rPr>
                <w:rFonts w:ascii="Calibri" w:eastAsia="Times New Roman" w:hAnsi="Calibri" w:cs="Calibri"/>
                <w:i/>
                <w:iCs/>
                <w:color w:val="000000"/>
                <w:sz w:val="22"/>
                <w:szCs w:val="22"/>
                <w:lang w:val="fr-FR" w:eastAsia="fr-FR"/>
              </w:rPr>
              <w:t>member</w:t>
            </w:r>
            <w:proofErr w:type="spellEnd"/>
          </w:p>
        </w:tc>
        <w:tc>
          <w:tcPr>
            <w:tcW w:w="427" w:type="pct"/>
            <w:tcBorders>
              <w:top w:val="nil"/>
              <w:left w:val="nil"/>
              <w:bottom w:val="nil"/>
              <w:right w:val="nil"/>
            </w:tcBorders>
            <w:shd w:val="clear" w:color="auto" w:fill="auto"/>
            <w:noWrap/>
            <w:vAlign w:val="bottom"/>
            <w:hideMark/>
          </w:tcPr>
          <w:p w14:paraId="7175415C"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6.78</w:t>
            </w:r>
          </w:p>
        </w:tc>
        <w:tc>
          <w:tcPr>
            <w:tcW w:w="427" w:type="pct"/>
            <w:tcBorders>
              <w:top w:val="nil"/>
              <w:left w:val="nil"/>
              <w:bottom w:val="nil"/>
              <w:right w:val="nil"/>
            </w:tcBorders>
            <w:shd w:val="clear" w:color="auto" w:fill="auto"/>
            <w:noWrap/>
            <w:vAlign w:val="bottom"/>
            <w:hideMark/>
          </w:tcPr>
          <w:p w14:paraId="3A5957A4"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427" w:type="pct"/>
            <w:tcBorders>
              <w:top w:val="nil"/>
              <w:left w:val="nil"/>
              <w:bottom w:val="nil"/>
              <w:right w:val="nil"/>
            </w:tcBorders>
            <w:shd w:val="clear" w:color="auto" w:fill="auto"/>
            <w:noWrap/>
            <w:vAlign w:val="bottom"/>
            <w:hideMark/>
          </w:tcPr>
          <w:p w14:paraId="1083F3BD"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6.90</w:t>
            </w:r>
          </w:p>
        </w:tc>
        <w:tc>
          <w:tcPr>
            <w:tcW w:w="548" w:type="pct"/>
            <w:tcBorders>
              <w:top w:val="nil"/>
              <w:left w:val="nil"/>
              <w:bottom w:val="nil"/>
              <w:right w:val="nil"/>
            </w:tcBorders>
            <w:shd w:val="clear" w:color="auto" w:fill="auto"/>
            <w:noWrap/>
            <w:vAlign w:val="bottom"/>
            <w:hideMark/>
          </w:tcPr>
          <w:p w14:paraId="312A663D"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6.67</w:t>
            </w:r>
          </w:p>
        </w:tc>
        <w:tc>
          <w:tcPr>
            <w:tcW w:w="427" w:type="pct"/>
            <w:tcBorders>
              <w:top w:val="nil"/>
              <w:left w:val="nil"/>
              <w:bottom w:val="nil"/>
              <w:right w:val="nil"/>
            </w:tcBorders>
            <w:shd w:val="clear" w:color="auto" w:fill="auto"/>
            <w:noWrap/>
            <w:vAlign w:val="bottom"/>
            <w:hideMark/>
          </w:tcPr>
          <w:p w14:paraId="42A0FE10"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842" w:type="pct"/>
            <w:tcBorders>
              <w:top w:val="nil"/>
              <w:left w:val="nil"/>
              <w:bottom w:val="nil"/>
              <w:right w:val="nil"/>
            </w:tcBorders>
            <w:shd w:val="clear" w:color="auto" w:fill="auto"/>
            <w:noWrap/>
            <w:vAlign w:val="bottom"/>
            <w:hideMark/>
          </w:tcPr>
          <w:p w14:paraId="353F85BA"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5.88</w:t>
            </w:r>
          </w:p>
        </w:tc>
        <w:tc>
          <w:tcPr>
            <w:tcW w:w="803" w:type="pct"/>
            <w:tcBorders>
              <w:top w:val="nil"/>
              <w:left w:val="nil"/>
              <w:bottom w:val="nil"/>
              <w:right w:val="nil"/>
            </w:tcBorders>
            <w:shd w:val="clear" w:color="auto" w:fill="auto"/>
            <w:noWrap/>
            <w:vAlign w:val="bottom"/>
            <w:hideMark/>
          </w:tcPr>
          <w:p w14:paraId="60FA0935"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7.19</w:t>
            </w:r>
          </w:p>
        </w:tc>
      </w:tr>
      <w:tr w:rsidR="00095768" w:rsidRPr="00095768" w14:paraId="5563546A" w14:textId="77777777" w:rsidTr="00095768">
        <w:trPr>
          <w:trHeight w:val="288"/>
        </w:trPr>
        <w:tc>
          <w:tcPr>
            <w:tcW w:w="1099" w:type="pct"/>
            <w:tcBorders>
              <w:top w:val="nil"/>
              <w:left w:val="nil"/>
              <w:bottom w:val="nil"/>
              <w:right w:val="nil"/>
            </w:tcBorders>
            <w:shd w:val="clear" w:color="auto" w:fill="auto"/>
            <w:noWrap/>
            <w:vAlign w:val="bottom"/>
            <w:hideMark/>
          </w:tcPr>
          <w:p w14:paraId="00C6A012" w14:textId="77777777" w:rsidR="00095768" w:rsidRPr="00095768" w:rsidRDefault="00095768" w:rsidP="00095768">
            <w:pPr>
              <w:spacing w:after="0"/>
              <w:rPr>
                <w:rFonts w:ascii="Calibri" w:eastAsia="Times New Roman" w:hAnsi="Calibri" w:cs="Calibri"/>
                <w:color w:val="000000"/>
                <w:sz w:val="22"/>
                <w:szCs w:val="22"/>
                <w:lang w:val="fr-FR" w:eastAsia="fr-FR"/>
              </w:rPr>
            </w:pPr>
            <w:proofErr w:type="spellStart"/>
            <w:r w:rsidRPr="00095768">
              <w:rPr>
                <w:rFonts w:ascii="Calibri" w:eastAsia="Times New Roman" w:hAnsi="Calibri" w:cs="Calibri"/>
                <w:color w:val="000000"/>
                <w:sz w:val="22"/>
                <w:szCs w:val="22"/>
                <w:lang w:val="fr-FR" w:eastAsia="fr-FR"/>
              </w:rPr>
              <w:t>Formal</w:t>
            </w:r>
            <w:proofErr w:type="spellEnd"/>
          </w:p>
        </w:tc>
        <w:tc>
          <w:tcPr>
            <w:tcW w:w="427" w:type="pct"/>
            <w:tcBorders>
              <w:top w:val="nil"/>
              <w:left w:val="nil"/>
              <w:bottom w:val="nil"/>
              <w:right w:val="nil"/>
            </w:tcBorders>
            <w:shd w:val="clear" w:color="auto" w:fill="auto"/>
            <w:noWrap/>
            <w:vAlign w:val="bottom"/>
            <w:hideMark/>
          </w:tcPr>
          <w:p w14:paraId="5EF7747B" w14:textId="77777777" w:rsidR="00095768" w:rsidRPr="00095768" w:rsidRDefault="00095768" w:rsidP="00095768">
            <w:pPr>
              <w:spacing w:after="0"/>
              <w:rPr>
                <w:rFonts w:ascii="Calibri" w:eastAsia="Times New Roman" w:hAnsi="Calibri" w:cs="Calibri"/>
                <w:color w:val="000000"/>
                <w:sz w:val="22"/>
                <w:szCs w:val="22"/>
                <w:lang w:val="fr-FR" w:eastAsia="fr-FR"/>
              </w:rPr>
            </w:pPr>
          </w:p>
        </w:tc>
        <w:tc>
          <w:tcPr>
            <w:tcW w:w="427" w:type="pct"/>
            <w:tcBorders>
              <w:top w:val="nil"/>
              <w:left w:val="nil"/>
              <w:bottom w:val="nil"/>
              <w:right w:val="nil"/>
            </w:tcBorders>
            <w:shd w:val="clear" w:color="auto" w:fill="auto"/>
            <w:noWrap/>
            <w:vAlign w:val="bottom"/>
            <w:hideMark/>
          </w:tcPr>
          <w:p w14:paraId="563C7763"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427" w:type="pct"/>
            <w:tcBorders>
              <w:top w:val="nil"/>
              <w:left w:val="nil"/>
              <w:bottom w:val="nil"/>
              <w:right w:val="nil"/>
            </w:tcBorders>
            <w:shd w:val="clear" w:color="auto" w:fill="auto"/>
            <w:noWrap/>
            <w:vAlign w:val="bottom"/>
            <w:hideMark/>
          </w:tcPr>
          <w:p w14:paraId="68BCFB10"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548" w:type="pct"/>
            <w:tcBorders>
              <w:top w:val="nil"/>
              <w:left w:val="nil"/>
              <w:bottom w:val="nil"/>
              <w:right w:val="nil"/>
            </w:tcBorders>
            <w:shd w:val="clear" w:color="auto" w:fill="auto"/>
            <w:noWrap/>
            <w:vAlign w:val="bottom"/>
            <w:hideMark/>
          </w:tcPr>
          <w:p w14:paraId="34F87672"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427" w:type="pct"/>
            <w:tcBorders>
              <w:top w:val="nil"/>
              <w:left w:val="nil"/>
              <w:bottom w:val="nil"/>
              <w:right w:val="nil"/>
            </w:tcBorders>
            <w:shd w:val="clear" w:color="auto" w:fill="auto"/>
            <w:noWrap/>
            <w:vAlign w:val="bottom"/>
            <w:hideMark/>
          </w:tcPr>
          <w:p w14:paraId="3AE4C0E4"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42" w:type="pct"/>
            <w:tcBorders>
              <w:top w:val="nil"/>
              <w:left w:val="nil"/>
              <w:bottom w:val="nil"/>
              <w:right w:val="nil"/>
            </w:tcBorders>
            <w:shd w:val="clear" w:color="auto" w:fill="auto"/>
            <w:noWrap/>
            <w:vAlign w:val="bottom"/>
            <w:hideMark/>
          </w:tcPr>
          <w:p w14:paraId="74C8BD9F"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03" w:type="pct"/>
            <w:tcBorders>
              <w:top w:val="nil"/>
              <w:left w:val="nil"/>
              <w:bottom w:val="nil"/>
              <w:right w:val="nil"/>
            </w:tcBorders>
            <w:shd w:val="clear" w:color="auto" w:fill="auto"/>
            <w:noWrap/>
            <w:vAlign w:val="bottom"/>
            <w:hideMark/>
          </w:tcPr>
          <w:p w14:paraId="541F71F3"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r>
      <w:tr w:rsidR="00095768" w:rsidRPr="00095768" w14:paraId="0C450CD1" w14:textId="77777777" w:rsidTr="00095768">
        <w:trPr>
          <w:trHeight w:val="288"/>
        </w:trPr>
        <w:tc>
          <w:tcPr>
            <w:tcW w:w="1099" w:type="pct"/>
            <w:tcBorders>
              <w:top w:val="nil"/>
              <w:left w:val="nil"/>
              <w:bottom w:val="nil"/>
              <w:right w:val="nil"/>
            </w:tcBorders>
            <w:shd w:val="clear" w:color="auto" w:fill="auto"/>
            <w:noWrap/>
            <w:vAlign w:val="bottom"/>
            <w:hideMark/>
          </w:tcPr>
          <w:p w14:paraId="5EAA37E1"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r w:rsidRPr="00095768">
              <w:rPr>
                <w:rFonts w:ascii="Calibri" w:eastAsia="Times New Roman" w:hAnsi="Calibri" w:cs="Calibri"/>
                <w:i/>
                <w:iCs/>
                <w:color w:val="000000"/>
                <w:sz w:val="22"/>
                <w:szCs w:val="22"/>
                <w:lang w:val="fr-FR" w:eastAsia="fr-FR"/>
              </w:rPr>
              <w:t>Finance</w:t>
            </w:r>
          </w:p>
        </w:tc>
        <w:tc>
          <w:tcPr>
            <w:tcW w:w="427" w:type="pct"/>
            <w:tcBorders>
              <w:top w:val="nil"/>
              <w:left w:val="nil"/>
              <w:bottom w:val="nil"/>
              <w:right w:val="nil"/>
            </w:tcBorders>
            <w:shd w:val="clear" w:color="auto" w:fill="auto"/>
            <w:noWrap/>
            <w:vAlign w:val="bottom"/>
            <w:hideMark/>
          </w:tcPr>
          <w:p w14:paraId="432E969E"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39.22</w:t>
            </w:r>
          </w:p>
        </w:tc>
        <w:tc>
          <w:tcPr>
            <w:tcW w:w="427" w:type="pct"/>
            <w:tcBorders>
              <w:top w:val="nil"/>
              <w:left w:val="nil"/>
              <w:bottom w:val="nil"/>
              <w:right w:val="nil"/>
            </w:tcBorders>
            <w:shd w:val="clear" w:color="auto" w:fill="auto"/>
            <w:noWrap/>
            <w:vAlign w:val="bottom"/>
            <w:hideMark/>
          </w:tcPr>
          <w:p w14:paraId="6D550A1B"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427" w:type="pct"/>
            <w:tcBorders>
              <w:top w:val="nil"/>
              <w:left w:val="nil"/>
              <w:bottom w:val="nil"/>
              <w:right w:val="nil"/>
            </w:tcBorders>
            <w:shd w:val="clear" w:color="auto" w:fill="auto"/>
            <w:noWrap/>
            <w:vAlign w:val="bottom"/>
            <w:hideMark/>
          </w:tcPr>
          <w:p w14:paraId="72719E6C"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44.40</w:t>
            </w:r>
          </w:p>
        </w:tc>
        <w:tc>
          <w:tcPr>
            <w:tcW w:w="548" w:type="pct"/>
            <w:tcBorders>
              <w:top w:val="nil"/>
              <w:left w:val="nil"/>
              <w:bottom w:val="nil"/>
              <w:right w:val="nil"/>
            </w:tcBorders>
            <w:shd w:val="clear" w:color="auto" w:fill="auto"/>
            <w:noWrap/>
            <w:vAlign w:val="bottom"/>
            <w:hideMark/>
          </w:tcPr>
          <w:p w14:paraId="0BD795BD"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34.51</w:t>
            </w:r>
          </w:p>
        </w:tc>
        <w:tc>
          <w:tcPr>
            <w:tcW w:w="427" w:type="pct"/>
            <w:tcBorders>
              <w:top w:val="nil"/>
              <w:left w:val="nil"/>
              <w:bottom w:val="nil"/>
              <w:right w:val="nil"/>
            </w:tcBorders>
            <w:shd w:val="clear" w:color="auto" w:fill="auto"/>
            <w:noWrap/>
            <w:vAlign w:val="bottom"/>
            <w:hideMark/>
          </w:tcPr>
          <w:p w14:paraId="68983AEA" w14:textId="77777777" w:rsidR="00095768" w:rsidRPr="00095768" w:rsidRDefault="00095768" w:rsidP="00095768">
            <w:pPr>
              <w:spacing w:after="0"/>
              <w:jc w:val="center"/>
              <w:rPr>
                <w:rFonts w:ascii="Calibri" w:eastAsia="Times New Roman" w:hAnsi="Calibri" w:cs="Calibri"/>
                <w:sz w:val="22"/>
                <w:szCs w:val="22"/>
                <w:lang w:val="fr-FR" w:eastAsia="fr-FR"/>
              </w:rPr>
            </w:pPr>
          </w:p>
        </w:tc>
        <w:tc>
          <w:tcPr>
            <w:tcW w:w="842" w:type="pct"/>
            <w:tcBorders>
              <w:top w:val="nil"/>
              <w:left w:val="nil"/>
              <w:bottom w:val="nil"/>
              <w:right w:val="nil"/>
            </w:tcBorders>
            <w:shd w:val="clear" w:color="auto" w:fill="auto"/>
            <w:noWrap/>
            <w:vAlign w:val="bottom"/>
            <w:hideMark/>
          </w:tcPr>
          <w:p w14:paraId="3319193F"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40.52</w:t>
            </w:r>
          </w:p>
        </w:tc>
        <w:tc>
          <w:tcPr>
            <w:tcW w:w="803" w:type="pct"/>
            <w:tcBorders>
              <w:top w:val="nil"/>
              <w:left w:val="nil"/>
              <w:bottom w:val="nil"/>
              <w:right w:val="nil"/>
            </w:tcBorders>
            <w:shd w:val="clear" w:color="auto" w:fill="auto"/>
            <w:noWrap/>
            <w:vAlign w:val="bottom"/>
            <w:hideMark/>
          </w:tcPr>
          <w:p w14:paraId="64EA517D" w14:textId="77777777" w:rsidR="00095768" w:rsidRPr="00095768" w:rsidRDefault="00095768" w:rsidP="00095768">
            <w:pPr>
              <w:spacing w:after="0"/>
              <w:jc w:val="center"/>
              <w:rPr>
                <w:rFonts w:ascii="Calibri" w:eastAsia="Times New Roman" w:hAnsi="Calibri" w:cs="Calibri"/>
                <w:sz w:val="22"/>
                <w:szCs w:val="22"/>
                <w:lang w:val="fr-FR" w:eastAsia="fr-FR"/>
              </w:rPr>
            </w:pPr>
            <w:r w:rsidRPr="00095768">
              <w:rPr>
                <w:rFonts w:ascii="Calibri" w:eastAsia="Times New Roman" w:hAnsi="Calibri" w:cs="Calibri"/>
                <w:sz w:val="22"/>
                <w:szCs w:val="22"/>
                <w:lang w:val="fr-FR" w:eastAsia="fr-FR"/>
              </w:rPr>
              <w:t>38.62</w:t>
            </w:r>
          </w:p>
        </w:tc>
      </w:tr>
      <w:tr w:rsidR="00095768" w:rsidRPr="00095768" w14:paraId="71425D29" w14:textId="77777777" w:rsidTr="00095768">
        <w:trPr>
          <w:trHeight w:val="288"/>
        </w:trPr>
        <w:tc>
          <w:tcPr>
            <w:tcW w:w="1099" w:type="pct"/>
            <w:tcBorders>
              <w:top w:val="nil"/>
              <w:left w:val="nil"/>
              <w:bottom w:val="single" w:sz="4" w:space="0" w:color="auto"/>
              <w:right w:val="nil"/>
            </w:tcBorders>
            <w:shd w:val="clear" w:color="auto" w:fill="auto"/>
            <w:noWrap/>
            <w:vAlign w:val="bottom"/>
            <w:hideMark/>
          </w:tcPr>
          <w:p w14:paraId="500970B0" w14:textId="77777777" w:rsidR="00095768" w:rsidRPr="00095768" w:rsidRDefault="00095768" w:rsidP="00095768">
            <w:pPr>
              <w:spacing w:after="0"/>
              <w:ind w:firstLineChars="100" w:firstLine="220"/>
              <w:rPr>
                <w:rFonts w:ascii="Calibri" w:eastAsia="Times New Roman" w:hAnsi="Calibri" w:cs="Calibri"/>
                <w:i/>
                <w:iCs/>
                <w:color w:val="000000"/>
                <w:sz w:val="22"/>
                <w:szCs w:val="22"/>
                <w:lang w:val="fr-FR" w:eastAsia="fr-FR"/>
              </w:rPr>
            </w:pPr>
            <w:r w:rsidRPr="00095768">
              <w:rPr>
                <w:rFonts w:ascii="Calibri" w:eastAsia="Times New Roman" w:hAnsi="Calibri" w:cs="Calibri"/>
                <w:i/>
                <w:iCs/>
                <w:color w:val="000000"/>
                <w:sz w:val="22"/>
                <w:szCs w:val="22"/>
                <w:lang w:val="fr-FR" w:eastAsia="fr-FR"/>
              </w:rPr>
              <w:lastRenderedPageBreak/>
              <w:t>Banks</w:t>
            </w:r>
          </w:p>
        </w:tc>
        <w:tc>
          <w:tcPr>
            <w:tcW w:w="427" w:type="pct"/>
            <w:tcBorders>
              <w:top w:val="nil"/>
              <w:left w:val="nil"/>
              <w:bottom w:val="single" w:sz="4" w:space="0" w:color="auto"/>
              <w:right w:val="nil"/>
            </w:tcBorders>
            <w:shd w:val="clear" w:color="auto" w:fill="auto"/>
            <w:noWrap/>
            <w:vAlign w:val="bottom"/>
            <w:hideMark/>
          </w:tcPr>
          <w:p w14:paraId="1534E3B6"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16.02</w:t>
            </w:r>
          </w:p>
        </w:tc>
        <w:tc>
          <w:tcPr>
            <w:tcW w:w="427" w:type="pct"/>
            <w:tcBorders>
              <w:top w:val="nil"/>
              <w:left w:val="nil"/>
              <w:bottom w:val="single" w:sz="4" w:space="0" w:color="auto"/>
              <w:right w:val="nil"/>
            </w:tcBorders>
            <w:shd w:val="clear" w:color="auto" w:fill="auto"/>
            <w:noWrap/>
            <w:vAlign w:val="bottom"/>
            <w:hideMark/>
          </w:tcPr>
          <w:p w14:paraId="29107371"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w:t>
            </w:r>
          </w:p>
        </w:tc>
        <w:tc>
          <w:tcPr>
            <w:tcW w:w="427" w:type="pct"/>
            <w:tcBorders>
              <w:top w:val="nil"/>
              <w:left w:val="nil"/>
              <w:bottom w:val="single" w:sz="4" w:space="0" w:color="auto"/>
              <w:right w:val="nil"/>
            </w:tcBorders>
            <w:shd w:val="clear" w:color="auto" w:fill="auto"/>
            <w:noWrap/>
            <w:vAlign w:val="bottom"/>
            <w:hideMark/>
          </w:tcPr>
          <w:p w14:paraId="772983F9"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9.05</w:t>
            </w:r>
          </w:p>
        </w:tc>
        <w:tc>
          <w:tcPr>
            <w:tcW w:w="548" w:type="pct"/>
            <w:tcBorders>
              <w:top w:val="nil"/>
              <w:left w:val="nil"/>
              <w:bottom w:val="single" w:sz="4" w:space="0" w:color="auto"/>
              <w:right w:val="nil"/>
            </w:tcBorders>
            <w:shd w:val="clear" w:color="auto" w:fill="auto"/>
            <w:noWrap/>
            <w:vAlign w:val="bottom"/>
            <w:hideMark/>
          </w:tcPr>
          <w:p w14:paraId="0EB8E411"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22.35</w:t>
            </w:r>
          </w:p>
        </w:tc>
        <w:tc>
          <w:tcPr>
            <w:tcW w:w="427" w:type="pct"/>
            <w:tcBorders>
              <w:top w:val="nil"/>
              <w:left w:val="nil"/>
              <w:bottom w:val="single" w:sz="4" w:space="0" w:color="auto"/>
              <w:right w:val="nil"/>
            </w:tcBorders>
            <w:shd w:val="clear" w:color="auto" w:fill="auto"/>
            <w:noWrap/>
            <w:vAlign w:val="bottom"/>
            <w:hideMark/>
          </w:tcPr>
          <w:p w14:paraId="66121659"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 </w:t>
            </w:r>
          </w:p>
        </w:tc>
        <w:tc>
          <w:tcPr>
            <w:tcW w:w="842" w:type="pct"/>
            <w:tcBorders>
              <w:top w:val="nil"/>
              <w:left w:val="nil"/>
              <w:bottom w:val="single" w:sz="4" w:space="0" w:color="auto"/>
              <w:right w:val="nil"/>
            </w:tcBorders>
            <w:shd w:val="clear" w:color="auto" w:fill="auto"/>
            <w:noWrap/>
            <w:vAlign w:val="bottom"/>
            <w:hideMark/>
          </w:tcPr>
          <w:p w14:paraId="5EF03AAF"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28.10</w:t>
            </w:r>
          </w:p>
        </w:tc>
        <w:tc>
          <w:tcPr>
            <w:tcW w:w="803" w:type="pct"/>
            <w:tcBorders>
              <w:top w:val="nil"/>
              <w:left w:val="nil"/>
              <w:bottom w:val="single" w:sz="4" w:space="0" w:color="auto"/>
              <w:right w:val="nil"/>
            </w:tcBorders>
            <w:shd w:val="clear" w:color="auto" w:fill="auto"/>
            <w:noWrap/>
            <w:vAlign w:val="bottom"/>
            <w:hideMark/>
          </w:tcPr>
          <w:p w14:paraId="41082A0F" w14:textId="77777777" w:rsidR="00095768" w:rsidRPr="00095768" w:rsidRDefault="00095768" w:rsidP="00095768">
            <w:pPr>
              <w:spacing w:after="0"/>
              <w:jc w:val="center"/>
              <w:rPr>
                <w:rFonts w:ascii="Calibri" w:eastAsia="Times New Roman" w:hAnsi="Calibri" w:cs="Calibri"/>
                <w:color w:val="000000"/>
                <w:sz w:val="22"/>
                <w:szCs w:val="22"/>
                <w:lang w:val="fr-FR" w:eastAsia="fr-FR"/>
              </w:rPr>
            </w:pPr>
            <w:r w:rsidRPr="00095768">
              <w:rPr>
                <w:rFonts w:ascii="Calibri" w:eastAsia="Times New Roman" w:hAnsi="Calibri" w:cs="Calibri"/>
                <w:color w:val="000000"/>
                <w:sz w:val="22"/>
                <w:szCs w:val="22"/>
                <w:lang w:val="fr-FR" w:eastAsia="fr-FR"/>
              </w:rPr>
              <w:t>10.48</w:t>
            </w:r>
          </w:p>
        </w:tc>
      </w:tr>
    </w:tbl>
    <w:p w14:paraId="4E3C3760" w14:textId="135714C5" w:rsidR="00095768" w:rsidRDefault="00095768" w:rsidP="00311AB2">
      <w:pPr>
        <w:pStyle w:val="BodyText"/>
      </w:pPr>
    </w:p>
    <w:p w14:paraId="25022065" w14:textId="1BAF7791" w:rsidR="00095768" w:rsidRDefault="00095768" w:rsidP="00095768">
      <w:pPr>
        <w:pStyle w:val="Caption"/>
        <w:keepNext/>
      </w:pPr>
      <w:r>
        <w:t xml:space="preserve">Table </w:t>
      </w:r>
      <w:fldSimple w:instr=" SEQ Table \* ARABIC ">
        <w:r>
          <w:rPr>
            <w:noProof/>
          </w:rPr>
          <w:t>4</w:t>
        </w:r>
      </w:fldSimple>
      <w:r>
        <w:t xml:space="preserve"> Loan sources per occupation (main occupation of the household head) -- Source: NEEMSIS-1 (2016-17); author's calculations.</w:t>
      </w:r>
    </w:p>
    <w:tbl>
      <w:tblPr>
        <w:tblW w:w="5000" w:type="pct"/>
        <w:tblCellMar>
          <w:left w:w="70" w:type="dxa"/>
          <w:right w:w="70" w:type="dxa"/>
        </w:tblCellMar>
        <w:tblLook w:val="04A0" w:firstRow="1" w:lastRow="0" w:firstColumn="1" w:lastColumn="0" w:noHBand="0" w:noVBand="1"/>
      </w:tblPr>
      <w:tblGrid>
        <w:gridCol w:w="1921"/>
        <w:gridCol w:w="698"/>
        <w:gridCol w:w="207"/>
        <w:gridCol w:w="751"/>
        <w:gridCol w:w="1089"/>
        <w:gridCol w:w="698"/>
        <w:gridCol w:w="1563"/>
        <w:gridCol w:w="1202"/>
        <w:gridCol w:w="699"/>
        <w:gridCol w:w="718"/>
      </w:tblGrid>
      <w:tr w:rsidR="00095768" w:rsidRPr="00095768" w14:paraId="6941A8A5" w14:textId="77777777" w:rsidTr="00095768">
        <w:trPr>
          <w:trHeight w:val="288"/>
        </w:trPr>
        <w:tc>
          <w:tcPr>
            <w:tcW w:w="1006" w:type="pct"/>
            <w:tcBorders>
              <w:top w:val="single" w:sz="4" w:space="0" w:color="auto"/>
              <w:left w:val="nil"/>
              <w:bottom w:val="single" w:sz="4" w:space="0" w:color="auto"/>
              <w:right w:val="nil"/>
            </w:tcBorders>
            <w:shd w:val="clear" w:color="auto" w:fill="auto"/>
            <w:noWrap/>
            <w:vAlign w:val="bottom"/>
            <w:hideMark/>
          </w:tcPr>
          <w:p w14:paraId="55F083FD" w14:textId="77777777" w:rsidR="00095768" w:rsidRPr="00095768" w:rsidRDefault="00095768" w:rsidP="00095768">
            <w:pPr>
              <w:spacing w:after="0"/>
              <w:jc w:val="center"/>
              <w:rPr>
                <w:rFonts w:ascii="Calibri" w:eastAsia="Times New Roman" w:hAnsi="Calibri" w:cs="Calibri"/>
                <w:color w:val="000000"/>
                <w:sz w:val="20"/>
                <w:szCs w:val="20"/>
                <w:lang w:val="en-GB" w:eastAsia="fr-FR"/>
              </w:rPr>
            </w:pPr>
            <w:r w:rsidRPr="00095768">
              <w:rPr>
                <w:rFonts w:ascii="Calibri" w:eastAsia="Times New Roman" w:hAnsi="Calibri" w:cs="Calibri"/>
                <w:color w:val="000000"/>
                <w:sz w:val="20"/>
                <w:szCs w:val="20"/>
                <w:lang w:val="en-GB" w:eastAsia="fr-FR"/>
              </w:rPr>
              <w:t> </w:t>
            </w:r>
          </w:p>
        </w:tc>
        <w:tc>
          <w:tcPr>
            <w:tcW w:w="366" w:type="pct"/>
            <w:tcBorders>
              <w:top w:val="single" w:sz="4" w:space="0" w:color="auto"/>
              <w:left w:val="nil"/>
              <w:bottom w:val="single" w:sz="4" w:space="0" w:color="auto"/>
              <w:right w:val="nil"/>
            </w:tcBorders>
            <w:shd w:val="clear" w:color="auto" w:fill="auto"/>
            <w:noWrap/>
            <w:vAlign w:val="bottom"/>
            <w:hideMark/>
          </w:tcPr>
          <w:p w14:paraId="07045A3A"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Total</w:t>
            </w:r>
          </w:p>
        </w:tc>
        <w:tc>
          <w:tcPr>
            <w:tcW w:w="109" w:type="pct"/>
            <w:tcBorders>
              <w:top w:val="single" w:sz="4" w:space="0" w:color="auto"/>
              <w:left w:val="nil"/>
              <w:bottom w:val="single" w:sz="4" w:space="0" w:color="auto"/>
              <w:right w:val="nil"/>
            </w:tcBorders>
            <w:shd w:val="clear" w:color="auto" w:fill="auto"/>
            <w:noWrap/>
            <w:vAlign w:val="bottom"/>
            <w:hideMark/>
          </w:tcPr>
          <w:p w14:paraId="4D062A54"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 </w:t>
            </w:r>
          </w:p>
        </w:tc>
        <w:tc>
          <w:tcPr>
            <w:tcW w:w="393" w:type="pct"/>
            <w:tcBorders>
              <w:top w:val="single" w:sz="4" w:space="0" w:color="auto"/>
              <w:left w:val="nil"/>
              <w:bottom w:val="single" w:sz="4" w:space="0" w:color="auto"/>
              <w:right w:val="nil"/>
            </w:tcBorders>
            <w:shd w:val="clear" w:color="auto" w:fill="auto"/>
            <w:noWrap/>
            <w:vAlign w:val="bottom"/>
            <w:hideMark/>
          </w:tcPr>
          <w:p w14:paraId="0092A865"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Agri. SE</w:t>
            </w:r>
          </w:p>
        </w:tc>
        <w:tc>
          <w:tcPr>
            <w:tcW w:w="570" w:type="pct"/>
            <w:tcBorders>
              <w:top w:val="single" w:sz="4" w:space="0" w:color="auto"/>
              <w:left w:val="nil"/>
              <w:bottom w:val="single" w:sz="4" w:space="0" w:color="auto"/>
              <w:right w:val="nil"/>
            </w:tcBorders>
            <w:shd w:val="clear" w:color="auto" w:fill="auto"/>
            <w:noWrap/>
            <w:vAlign w:val="bottom"/>
            <w:hideMark/>
          </w:tcPr>
          <w:p w14:paraId="1552CFEF"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Agri. Casual</w:t>
            </w:r>
          </w:p>
        </w:tc>
        <w:tc>
          <w:tcPr>
            <w:tcW w:w="366" w:type="pct"/>
            <w:tcBorders>
              <w:top w:val="single" w:sz="4" w:space="0" w:color="auto"/>
              <w:left w:val="nil"/>
              <w:bottom w:val="single" w:sz="4" w:space="0" w:color="auto"/>
              <w:right w:val="nil"/>
            </w:tcBorders>
            <w:shd w:val="clear" w:color="auto" w:fill="auto"/>
            <w:noWrap/>
            <w:vAlign w:val="bottom"/>
            <w:hideMark/>
          </w:tcPr>
          <w:p w14:paraId="24FFC1DE"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Casual</w:t>
            </w:r>
          </w:p>
        </w:tc>
        <w:tc>
          <w:tcPr>
            <w:tcW w:w="819" w:type="pct"/>
            <w:tcBorders>
              <w:top w:val="single" w:sz="4" w:space="0" w:color="auto"/>
              <w:left w:val="nil"/>
              <w:bottom w:val="single" w:sz="4" w:space="0" w:color="auto"/>
              <w:right w:val="nil"/>
            </w:tcBorders>
            <w:shd w:val="clear" w:color="auto" w:fill="auto"/>
            <w:noWrap/>
            <w:vAlign w:val="bottom"/>
            <w:hideMark/>
          </w:tcPr>
          <w:p w14:paraId="02BD2FEA"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 xml:space="preserve">Regular non </w:t>
            </w:r>
            <w:proofErr w:type="spellStart"/>
            <w:r w:rsidRPr="00095768">
              <w:rPr>
                <w:rFonts w:ascii="Calibri" w:eastAsia="Times New Roman" w:hAnsi="Calibri" w:cs="Calibri"/>
                <w:color w:val="000000"/>
                <w:sz w:val="20"/>
                <w:szCs w:val="20"/>
                <w:lang w:val="fr-FR" w:eastAsia="fr-FR"/>
              </w:rPr>
              <w:t>quali</w:t>
            </w:r>
            <w:proofErr w:type="spellEnd"/>
          </w:p>
        </w:tc>
        <w:tc>
          <w:tcPr>
            <w:tcW w:w="630" w:type="pct"/>
            <w:tcBorders>
              <w:top w:val="single" w:sz="4" w:space="0" w:color="auto"/>
              <w:left w:val="nil"/>
              <w:bottom w:val="single" w:sz="4" w:space="0" w:color="auto"/>
              <w:right w:val="nil"/>
            </w:tcBorders>
            <w:shd w:val="clear" w:color="auto" w:fill="auto"/>
            <w:noWrap/>
            <w:vAlign w:val="bottom"/>
            <w:hideMark/>
          </w:tcPr>
          <w:p w14:paraId="2EE3E010"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 xml:space="preserve">Regular </w:t>
            </w:r>
            <w:proofErr w:type="spellStart"/>
            <w:r w:rsidRPr="00095768">
              <w:rPr>
                <w:rFonts w:ascii="Calibri" w:eastAsia="Times New Roman" w:hAnsi="Calibri" w:cs="Calibri"/>
                <w:color w:val="000000"/>
                <w:sz w:val="20"/>
                <w:szCs w:val="20"/>
                <w:lang w:val="fr-FR" w:eastAsia="fr-FR"/>
              </w:rPr>
              <w:t>quali</w:t>
            </w:r>
            <w:proofErr w:type="spellEnd"/>
          </w:p>
        </w:tc>
        <w:tc>
          <w:tcPr>
            <w:tcW w:w="366" w:type="pct"/>
            <w:tcBorders>
              <w:top w:val="single" w:sz="4" w:space="0" w:color="auto"/>
              <w:left w:val="nil"/>
              <w:bottom w:val="single" w:sz="4" w:space="0" w:color="auto"/>
              <w:right w:val="nil"/>
            </w:tcBorders>
            <w:shd w:val="clear" w:color="auto" w:fill="auto"/>
            <w:noWrap/>
            <w:vAlign w:val="bottom"/>
            <w:hideMark/>
          </w:tcPr>
          <w:p w14:paraId="7717A2E9"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SE</w:t>
            </w:r>
          </w:p>
        </w:tc>
        <w:tc>
          <w:tcPr>
            <w:tcW w:w="376" w:type="pct"/>
            <w:tcBorders>
              <w:top w:val="single" w:sz="4" w:space="0" w:color="auto"/>
              <w:left w:val="nil"/>
              <w:bottom w:val="single" w:sz="4" w:space="0" w:color="auto"/>
              <w:right w:val="nil"/>
            </w:tcBorders>
            <w:shd w:val="clear" w:color="auto" w:fill="auto"/>
            <w:noWrap/>
            <w:vAlign w:val="bottom"/>
            <w:hideMark/>
          </w:tcPr>
          <w:p w14:paraId="60D1BCB7"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NREGA</w:t>
            </w:r>
          </w:p>
        </w:tc>
      </w:tr>
      <w:tr w:rsidR="00095768" w:rsidRPr="00095768" w14:paraId="721F45FF" w14:textId="77777777" w:rsidTr="00095768">
        <w:trPr>
          <w:trHeight w:val="288"/>
        </w:trPr>
        <w:tc>
          <w:tcPr>
            <w:tcW w:w="1006" w:type="pct"/>
            <w:tcBorders>
              <w:top w:val="nil"/>
              <w:left w:val="nil"/>
              <w:bottom w:val="nil"/>
              <w:right w:val="nil"/>
            </w:tcBorders>
            <w:shd w:val="clear" w:color="auto" w:fill="auto"/>
            <w:noWrap/>
            <w:vAlign w:val="bottom"/>
            <w:hideMark/>
          </w:tcPr>
          <w:p w14:paraId="16EFBEED" w14:textId="77777777" w:rsidR="00095768" w:rsidRPr="00095768" w:rsidRDefault="00095768" w:rsidP="00095768">
            <w:pPr>
              <w:spacing w:after="0"/>
              <w:rPr>
                <w:rFonts w:ascii="Calibri" w:eastAsia="Times New Roman" w:hAnsi="Calibri" w:cs="Calibri"/>
                <w:sz w:val="20"/>
                <w:szCs w:val="20"/>
                <w:lang w:val="fr-FR" w:eastAsia="fr-FR"/>
              </w:rPr>
            </w:pPr>
            <w:proofErr w:type="spellStart"/>
            <w:r w:rsidRPr="00095768">
              <w:rPr>
                <w:rFonts w:ascii="Calibri" w:eastAsia="Times New Roman" w:hAnsi="Calibri" w:cs="Calibri"/>
                <w:sz w:val="20"/>
                <w:szCs w:val="20"/>
                <w:lang w:val="fr-FR" w:eastAsia="fr-FR"/>
              </w:rPr>
              <w:t>Number</w:t>
            </w:r>
            <w:proofErr w:type="spellEnd"/>
            <w:r w:rsidRPr="00095768">
              <w:rPr>
                <w:rFonts w:ascii="Calibri" w:eastAsia="Times New Roman" w:hAnsi="Calibri" w:cs="Calibri"/>
                <w:sz w:val="20"/>
                <w:szCs w:val="20"/>
                <w:lang w:val="fr-FR" w:eastAsia="fr-FR"/>
              </w:rPr>
              <w:t xml:space="preserve"> of </w:t>
            </w:r>
            <w:proofErr w:type="spellStart"/>
            <w:r w:rsidRPr="00095768">
              <w:rPr>
                <w:rFonts w:ascii="Calibri" w:eastAsia="Times New Roman" w:hAnsi="Calibri" w:cs="Calibri"/>
                <w:sz w:val="20"/>
                <w:szCs w:val="20"/>
                <w:lang w:val="fr-FR" w:eastAsia="fr-FR"/>
              </w:rPr>
              <w:t>household</w:t>
            </w:r>
            <w:proofErr w:type="spellEnd"/>
          </w:p>
        </w:tc>
        <w:tc>
          <w:tcPr>
            <w:tcW w:w="366" w:type="pct"/>
            <w:tcBorders>
              <w:top w:val="nil"/>
              <w:left w:val="nil"/>
              <w:bottom w:val="nil"/>
              <w:right w:val="nil"/>
            </w:tcBorders>
            <w:shd w:val="clear" w:color="auto" w:fill="auto"/>
            <w:noWrap/>
            <w:vAlign w:val="bottom"/>
            <w:hideMark/>
          </w:tcPr>
          <w:p w14:paraId="067C3CAE"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n=487</w:t>
            </w:r>
          </w:p>
        </w:tc>
        <w:tc>
          <w:tcPr>
            <w:tcW w:w="109" w:type="pct"/>
            <w:tcBorders>
              <w:top w:val="nil"/>
              <w:left w:val="nil"/>
              <w:bottom w:val="nil"/>
              <w:right w:val="nil"/>
            </w:tcBorders>
            <w:shd w:val="clear" w:color="auto" w:fill="auto"/>
            <w:noWrap/>
            <w:vAlign w:val="bottom"/>
            <w:hideMark/>
          </w:tcPr>
          <w:p w14:paraId="673083A0"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4B36759A"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n=103</w:t>
            </w:r>
          </w:p>
        </w:tc>
        <w:tc>
          <w:tcPr>
            <w:tcW w:w="570" w:type="pct"/>
            <w:tcBorders>
              <w:top w:val="nil"/>
              <w:left w:val="nil"/>
              <w:bottom w:val="nil"/>
              <w:right w:val="nil"/>
            </w:tcBorders>
            <w:shd w:val="clear" w:color="auto" w:fill="auto"/>
            <w:noWrap/>
            <w:vAlign w:val="bottom"/>
            <w:hideMark/>
          </w:tcPr>
          <w:p w14:paraId="034A850B"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n=108</w:t>
            </w:r>
          </w:p>
        </w:tc>
        <w:tc>
          <w:tcPr>
            <w:tcW w:w="366" w:type="pct"/>
            <w:tcBorders>
              <w:top w:val="nil"/>
              <w:left w:val="nil"/>
              <w:bottom w:val="nil"/>
              <w:right w:val="nil"/>
            </w:tcBorders>
            <w:shd w:val="clear" w:color="auto" w:fill="auto"/>
            <w:noWrap/>
            <w:vAlign w:val="bottom"/>
            <w:hideMark/>
          </w:tcPr>
          <w:p w14:paraId="5CDEA048"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n=75</w:t>
            </w:r>
          </w:p>
        </w:tc>
        <w:tc>
          <w:tcPr>
            <w:tcW w:w="819" w:type="pct"/>
            <w:tcBorders>
              <w:top w:val="nil"/>
              <w:left w:val="nil"/>
              <w:bottom w:val="nil"/>
              <w:right w:val="nil"/>
            </w:tcBorders>
            <w:shd w:val="clear" w:color="auto" w:fill="auto"/>
            <w:noWrap/>
            <w:vAlign w:val="bottom"/>
            <w:hideMark/>
          </w:tcPr>
          <w:p w14:paraId="63B7C738"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n=81</w:t>
            </w:r>
          </w:p>
        </w:tc>
        <w:tc>
          <w:tcPr>
            <w:tcW w:w="630" w:type="pct"/>
            <w:tcBorders>
              <w:top w:val="nil"/>
              <w:left w:val="nil"/>
              <w:bottom w:val="nil"/>
              <w:right w:val="nil"/>
            </w:tcBorders>
            <w:shd w:val="clear" w:color="auto" w:fill="auto"/>
            <w:noWrap/>
            <w:vAlign w:val="bottom"/>
            <w:hideMark/>
          </w:tcPr>
          <w:p w14:paraId="1C6290C1"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n=10</w:t>
            </w:r>
          </w:p>
        </w:tc>
        <w:tc>
          <w:tcPr>
            <w:tcW w:w="366" w:type="pct"/>
            <w:tcBorders>
              <w:top w:val="nil"/>
              <w:left w:val="nil"/>
              <w:bottom w:val="nil"/>
              <w:right w:val="nil"/>
            </w:tcBorders>
            <w:shd w:val="clear" w:color="auto" w:fill="auto"/>
            <w:noWrap/>
            <w:vAlign w:val="bottom"/>
            <w:hideMark/>
          </w:tcPr>
          <w:p w14:paraId="0C57F4B0"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n=87</w:t>
            </w:r>
          </w:p>
        </w:tc>
        <w:tc>
          <w:tcPr>
            <w:tcW w:w="376" w:type="pct"/>
            <w:tcBorders>
              <w:top w:val="nil"/>
              <w:left w:val="nil"/>
              <w:bottom w:val="nil"/>
              <w:right w:val="nil"/>
            </w:tcBorders>
            <w:shd w:val="clear" w:color="auto" w:fill="auto"/>
            <w:noWrap/>
            <w:vAlign w:val="bottom"/>
            <w:hideMark/>
          </w:tcPr>
          <w:p w14:paraId="2552BCBC"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n=23</w:t>
            </w:r>
          </w:p>
        </w:tc>
      </w:tr>
      <w:tr w:rsidR="00095768" w:rsidRPr="00095768" w14:paraId="2CB0D1E2" w14:textId="77777777" w:rsidTr="00095768">
        <w:trPr>
          <w:trHeight w:val="288"/>
        </w:trPr>
        <w:tc>
          <w:tcPr>
            <w:tcW w:w="1006" w:type="pct"/>
            <w:tcBorders>
              <w:top w:val="nil"/>
              <w:left w:val="nil"/>
              <w:bottom w:val="nil"/>
              <w:right w:val="nil"/>
            </w:tcBorders>
            <w:shd w:val="clear" w:color="auto" w:fill="auto"/>
            <w:noWrap/>
            <w:vAlign w:val="bottom"/>
            <w:hideMark/>
          </w:tcPr>
          <w:p w14:paraId="34CD2F57" w14:textId="77777777" w:rsidR="00095768" w:rsidRPr="00095768" w:rsidRDefault="00095768" w:rsidP="00095768">
            <w:pPr>
              <w:spacing w:after="0"/>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All sources</w:t>
            </w:r>
          </w:p>
        </w:tc>
        <w:tc>
          <w:tcPr>
            <w:tcW w:w="366" w:type="pct"/>
            <w:tcBorders>
              <w:top w:val="nil"/>
              <w:left w:val="nil"/>
              <w:bottom w:val="nil"/>
              <w:right w:val="nil"/>
            </w:tcBorders>
            <w:shd w:val="clear" w:color="auto" w:fill="auto"/>
            <w:noWrap/>
            <w:vAlign w:val="bottom"/>
            <w:hideMark/>
          </w:tcPr>
          <w:p w14:paraId="3E9DDF11"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109" w:type="pct"/>
            <w:tcBorders>
              <w:top w:val="nil"/>
              <w:left w:val="nil"/>
              <w:bottom w:val="nil"/>
              <w:right w:val="nil"/>
            </w:tcBorders>
            <w:shd w:val="clear" w:color="auto" w:fill="auto"/>
            <w:noWrap/>
            <w:vAlign w:val="bottom"/>
            <w:hideMark/>
          </w:tcPr>
          <w:p w14:paraId="49836D6F"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520A287E"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570" w:type="pct"/>
            <w:tcBorders>
              <w:top w:val="nil"/>
              <w:left w:val="nil"/>
              <w:bottom w:val="nil"/>
              <w:right w:val="nil"/>
            </w:tcBorders>
            <w:shd w:val="clear" w:color="auto" w:fill="auto"/>
            <w:noWrap/>
            <w:vAlign w:val="bottom"/>
            <w:hideMark/>
          </w:tcPr>
          <w:p w14:paraId="6AC05C90"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366" w:type="pct"/>
            <w:tcBorders>
              <w:top w:val="nil"/>
              <w:left w:val="nil"/>
              <w:bottom w:val="nil"/>
              <w:right w:val="nil"/>
            </w:tcBorders>
            <w:shd w:val="clear" w:color="auto" w:fill="auto"/>
            <w:noWrap/>
            <w:vAlign w:val="bottom"/>
            <w:hideMark/>
          </w:tcPr>
          <w:p w14:paraId="70ABE4A4"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819" w:type="pct"/>
            <w:tcBorders>
              <w:top w:val="nil"/>
              <w:left w:val="nil"/>
              <w:bottom w:val="nil"/>
              <w:right w:val="nil"/>
            </w:tcBorders>
            <w:shd w:val="clear" w:color="auto" w:fill="auto"/>
            <w:noWrap/>
            <w:vAlign w:val="bottom"/>
            <w:hideMark/>
          </w:tcPr>
          <w:p w14:paraId="0D6F49BD"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630" w:type="pct"/>
            <w:tcBorders>
              <w:top w:val="nil"/>
              <w:left w:val="nil"/>
              <w:bottom w:val="nil"/>
              <w:right w:val="nil"/>
            </w:tcBorders>
            <w:shd w:val="clear" w:color="auto" w:fill="auto"/>
            <w:noWrap/>
            <w:vAlign w:val="bottom"/>
            <w:hideMark/>
          </w:tcPr>
          <w:p w14:paraId="016C8957"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366" w:type="pct"/>
            <w:tcBorders>
              <w:top w:val="nil"/>
              <w:left w:val="nil"/>
              <w:bottom w:val="nil"/>
              <w:right w:val="nil"/>
            </w:tcBorders>
            <w:shd w:val="clear" w:color="auto" w:fill="auto"/>
            <w:noWrap/>
            <w:vAlign w:val="bottom"/>
            <w:hideMark/>
          </w:tcPr>
          <w:p w14:paraId="3BDD927E"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c>
          <w:tcPr>
            <w:tcW w:w="376" w:type="pct"/>
            <w:tcBorders>
              <w:top w:val="nil"/>
              <w:left w:val="nil"/>
              <w:bottom w:val="nil"/>
              <w:right w:val="nil"/>
            </w:tcBorders>
            <w:shd w:val="clear" w:color="auto" w:fill="auto"/>
            <w:noWrap/>
            <w:vAlign w:val="bottom"/>
            <w:hideMark/>
          </w:tcPr>
          <w:p w14:paraId="3E49B4FB"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100.00</w:t>
            </w:r>
          </w:p>
        </w:tc>
      </w:tr>
      <w:tr w:rsidR="00095768" w:rsidRPr="00095768" w14:paraId="3D43F5FF" w14:textId="77777777" w:rsidTr="00095768">
        <w:trPr>
          <w:trHeight w:val="288"/>
        </w:trPr>
        <w:tc>
          <w:tcPr>
            <w:tcW w:w="1006" w:type="pct"/>
            <w:tcBorders>
              <w:top w:val="nil"/>
              <w:left w:val="nil"/>
              <w:bottom w:val="nil"/>
              <w:right w:val="nil"/>
            </w:tcBorders>
            <w:shd w:val="clear" w:color="auto" w:fill="auto"/>
            <w:noWrap/>
            <w:vAlign w:val="bottom"/>
            <w:hideMark/>
          </w:tcPr>
          <w:p w14:paraId="167096A2" w14:textId="77777777" w:rsidR="00095768" w:rsidRPr="00095768" w:rsidRDefault="00095768" w:rsidP="00095768">
            <w:pPr>
              <w:spacing w:after="0"/>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Informal</w:t>
            </w:r>
          </w:p>
        </w:tc>
        <w:tc>
          <w:tcPr>
            <w:tcW w:w="366" w:type="pct"/>
            <w:tcBorders>
              <w:top w:val="nil"/>
              <w:left w:val="nil"/>
              <w:bottom w:val="nil"/>
              <w:right w:val="nil"/>
            </w:tcBorders>
            <w:shd w:val="clear" w:color="auto" w:fill="auto"/>
            <w:noWrap/>
            <w:vAlign w:val="bottom"/>
            <w:hideMark/>
          </w:tcPr>
          <w:p w14:paraId="784F7BEC" w14:textId="77777777" w:rsidR="00095768" w:rsidRPr="00095768" w:rsidRDefault="00095768" w:rsidP="00095768">
            <w:pPr>
              <w:spacing w:after="0"/>
              <w:rPr>
                <w:rFonts w:ascii="Calibri" w:eastAsia="Times New Roman" w:hAnsi="Calibri" w:cs="Calibri"/>
                <w:color w:val="000000"/>
                <w:sz w:val="20"/>
                <w:szCs w:val="20"/>
                <w:lang w:val="fr-FR" w:eastAsia="fr-FR"/>
              </w:rPr>
            </w:pPr>
          </w:p>
        </w:tc>
        <w:tc>
          <w:tcPr>
            <w:tcW w:w="109" w:type="pct"/>
            <w:tcBorders>
              <w:top w:val="nil"/>
              <w:left w:val="nil"/>
              <w:bottom w:val="nil"/>
              <w:right w:val="nil"/>
            </w:tcBorders>
            <w:shd w:val="clear" w:color="auto" w:fill="auto"/>
            <w:noWrap/>
            <w:vAlign w:val="bottom"/>
            <w:hideMark/>
          </w:tcPr>
          <w:p w14:paraId="1C51F9F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93" w:type="pct"/>
            <w:tcBorders>
              <w:top w:val="nil"/>
              <w:left w:val="nil"/>
              <w:bottom w:val="nil"/>
              <w:right w:val="nil"/>
            </w:tcBorders>
            <w:shd w:val="clear" w:color="auto" w:fill="auto"/>
            <w:noWrap/>
            <w:vAlign w:val="bottom"/>
            <w:hideMark/>
          </w:tcPr>
          <w:p w14:paraId="0FEFE5B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570" w:type="pct"/>
            <w:tcBorders>
              <w:top w:val="nil"/>
              <w:left w:val="nil"/>
              <w:bottom w:val="nil"/>
              <w:right w:val="nil"/>
            </w:tcBorders>
            <w:shd w:val="clear" w:color="auto" w:fill="auto"/>
            <w:noWrap/>
            <w:vAlign w:val="bottom"/>
            <w:hideMark/>
          </w:tcPr>
          <w:p w14:paraId="014CFEB8"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66" w:type="pct"/>
            <w:tcBorders>
              <w:top w:val="nil"/>
              <w:left w:val="nil"/>
              <w:bottom w:val="nil"/>
              <w:right w:val="nil"/>
            </w:tcBorders>
            <w:shd w:val="clear" w:color="auto" w:fill="auto"/>
            <w:noWrap/>
            <w:vAlign w:val="bottom"/>
            <w:hideMark/>
          </w:tcPr>
          <w:p w14:paraId="01D48CC6"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19" w:type="pct"/>
            <w:tcBorders>
              <w:top w:val="nil"/>
              <w:left w:val="nil"/>
              <w:bottom w:val="nil"/>
              <w:right w:val="nil"/>
            </w:tcBorders>
            <w:shd w:val="clear" w:color="auto" w:fill="auto"/>
            <w:noWrap/>
            <w:vAlign w:val="bottom"/>
            <w:hideMark/>
          </w:tcPr>
          <w:p w14:paraId="522936AF"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630" w:type="pct"/>
            <w:tcBorders>
              <w:top w:val="nil"/>
              <w:left w:val="nil"/>
              <w:bottom w:val="nil"/>
              <w:right w:val="nil"/>
            </w:tcBorders>
            <w:shd w:val="clear" w:color="auto" w:fill="auto"/>
            <w:noWrap/>
            <w:vAlign w:val="bottom"/>
            <w:hideMark/>
          </w:tcPr>
          <w:p w14:paraId="1223CA1A"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66" w:type="pct"/>
            <w:tcBorders>
              <w:top w:val="nil"/>
              <w:left w:val="nil"/>
              <w:bottom w:val="nil"/>
              <w:right w:val="nil"/>
            </w:tcBorders>
            <w:shd w:val="clear" w:color="auto" w:fill="auto"/>
            <w:noWrap/>
            <w:vAlign w:val="bottom"/>
            <w:hideMark/>
          </w:tcPr>
          <w:p w14:paraId="020D0F9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76" w:type="pct"/>
            <w:tcBorders>
              <w:top w:val="nil"/>
              <w:left w:val="nil"/>
              <w:bottom w:val="nil"/>
              <w:right w:val="nil"/>
            </w:tcBorders>
            <w:shd w:val="clear" w:color="auto" w:fill="auto"/>
            <w:noWrap/>
            <w:vAlign w:val="bottom"/>
            <w:hideMark/>
          </w:tcPr>
          <w:p w14:paraId="4A1C5DB6"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r>
      <w:tr w:rsidR="00095768" w:rsidRPr="00095768" w14:paraId="58B2AE18" w14:textId="77777777" w:rsidTr="00095768">
        <w:trPr>
          <w:trHeight w:val="288"/>
        </w:trPr>
        <w:tc>
          <w:tcPr>
            <w:tcW w:w="1006" w:type="pct"/>
            <w:tcBorders>
              <w:top w:val="nil"/>
              <w:left w:val="nil"/>
              <w:bottom w:val="nil"/>
              <w:right w:val="nil"/>
            </w:tcBorders>
            <w:shd w:val="clear" w:color="auto" w:fill="auto"/>
            <w:noWrap/>
            <w:vAlign w:val="bottom"/>
            <w:hideMark/>
          </w:tcPr>
          <w:p w14:paraId="7341112C"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r w:rsidRPr="00095768">
              <w:rPr>
                <w:rFonts w:ascii="Calibri" w:eastAsia="Times New Roman" w:hAnsi="Calibri" w:cs="Calibri"/>
                <w:i/>
                <w:iCs/>
                <w:color w:val="000000"/>
                <w:sz w:val="20"/>
                <w:szCs w:val="20"/>
                <w:lang w:val="fr-FR" w:eastAsia="fr-FR"/>
              </w:rPr>
              <w:t>WKP</w:t>
            </w:r>
          </w:p>
        </w:tc>
        <w:tc>
          <w:tcPr>
            <w:tcW w:w="366" w:type="pct"/>
            <w:tcBorders>
              <w:top w:val="nil"/>
              <w:left w:val="nil"/>
              <w:bottom w:val="nil"/>
              <w:right w:val="nil"/>
            </w:tcBorders>
            <w:shd w:val="clear" w:color="auto" w:fill="auto"/>
            <w:noWrap/>
            <w:vAlign w:val="bottom"/>
            <w:hideMark/>
          </w:tcPr>
          <w:p w14:paraId="223CC783"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70.23</w:t>
            </w:r>
          </w:p>
        </w:tc>
        <w:tc>
          <w:tcPr>
            <w:tcW w:w="109" w:type="pct"/>
            <w:tcBorders>
              <w:top w:val="nil"/>
              <w:left w:val="nil"/>
              <w:bottom w:val="nil"/>
              <w:right w:val="nil"/>
            </w:tcBorders>
            <w:shd w:val="clear" w:color="auto" w:fill="auto"/>
            <w:noWrap/>
            <w:vAlign w:val="bottom"/>
            <w:hideMark/>
          </w:tcPr>
          <w:p w14:paraId="10BEB041"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7E7C61E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65.96</w:t>
            </w:r>
          </w:p>
        </w:tc>
        <w:tc>
          <w:tcPr>
            <w:tcW w:w="570" w:type="pct"/>
            <w:tcBorders>
              <w:top w:val="nil"/>
              <w:left w:val="nil"/>
              <w:bottom w:val="nil"/>
              <w:right w:val="nil"/>
            </w:tcBorders>
            <w:shd w:val="clear" w:color="auto" w:fill="auto"/>
            <w:noWrap/>
            <w:vAlign w:val="bottom"/>
            <w:hideMark/>
          </w:tcPr>
          <w:p w14:paraId="04C51F9C"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75.00</w:t>
            </w:r>
          </w:p>
        </w:tc>
        <w:tc>
          <w:tcPr>
            <w:tcW w:w="366" w:type="pct"/>
            <w:tcBorders>
              <w:top w:val="nil"/>
              <w:left w:val="nil"/>
              <w:bottom w:val="nil"/>
              <w:right w:val="nil"/>
            </w:tcBorders>
            <w:shd w:val="clear" w:color="auto" w:fill="auto"/>
            <w:noWrap/>
            <w:vAlign w:val="bottom"/>
            <w:hideMark/>
          </w:tcPr>
          <w:p w14:paraId="195A4FCF"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76.47</w:t>
            </w:r>
          </w:p>
        </w:tc>
        <w:tc>
          <w:tcPr>
            <w:tcW w:w="819" w:type="pct"/>
            <w:tcBorders>
              <w:top w:val="nil"/>
              <w:left w:val="nil"/>
              <w:bottom w:val="nil"/>
              <w:right w:val="nil"/>
            </w:tcBorders>
            <w:shd w:val="clear" w:color="auto" w:fill="auto"/>
            <w:noWrap/>
            <w:vAlign w:val="bottom"/>
            <w:hideMark/>
          </w:tcPr>
          <w:p w14:paraId="38B46B27"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64.86</w:t>
            </w:r>
          </w:p>
        </w:tc>
        <w:tc>
          <w:tcPr>
            <w:tcW w:w="630" w:type="pct"/>
            <w:tcBorders>
              <w:top w:val="nil"/>
              <w:left w:val="nil"/>
              <w:bottom w:val="nil"/>
              <w:right w:val="nil"/>
            </w:tcBorders>
            <w:shd w:val="clear" w:color="auto" w:fill="auto"/>
            <w:noWrap/>
            <w:vAlign w:val="bottom"/>
            <w:hideMark/>
          </w:tcPr>
          <w:p w14:paraId="7C7F7E6C"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55.56</w:t>
            </w:r>
          </w:p>
        </w:tc>
        <w:tc>
          <w:tcPr>
            <w:tcW w:w="366" w:type="pct"/>
            <w:tcBorders>
              <w:top w:val="nil"/>
              <w:left w:val="nil"/>
              <w:bottom w:val="nil"/>
              <w:right w:val="nil"/>
            </w:tcBorders>
            <w:shd w:val="clear" w:color="auto" w:fill="auto"/>
            <w:noWrap/>
            <w:vAlign w:val="bottom"/>
            <w:hideMark/>
          </w:tcPr>
          <w:p w14:paraId="4221EB7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67.09</w:t>
            </w:r>
          </w:p>
        </w:tc>
        <w:tc>
          <w:tcPr>
            <w:tcW w:w="376" w:type="pct"/>
            <w:tcBorders>
              <w:top w:val="nil"/>
              <w:left w:val="nil"/>
              <w:bottom w:val="nil"/>
              <w:right w:val="nil"/>
            </w:tcBorders>
            <w:shd w:val="clear" w:color="auto" w:fill="auto"/>
            <w:noWrap/>
            <w:vAlign w:val="bottom"/>
            <w:hideMark/>
          </w:tcPr>
          <w:p w14:paraId="2A534CB6"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76.19</w:t>
            </w:r>
          </w:p>
        </w:tc>
      </w:tr>
      <w:tr w:rsidR="00095768" w:rsidRPr="00095768" w14:paraId="1F11E903" w14:textId="77777777" w:rsidTr="00095768">
        <w:trPr>
          <w:trHeight w:val="288"/>
        </w:trPr>
        <w:tc>
          <w:tcPr>
            <w:tcW w:w="1006" w:type="pct"/>
            <w:tcBorders>
              <w:top w:val="nil"/>
              <w:left w:val="nil"/>
              <w:bottom w:val="nil"/>
              <w:right w:val="nil"/>
            </w:tcBorders>
            <w:shd w:val="clear" w:color="auto" w:fill="auto"/>
            <w:noWrap/>
            <w:vAlign w:val="bottom"/>
            <w:hideMark/>
          </w:tcPr>
          <w:p w14:paraId="59CDAF9A"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r w:rsidRPr="00095768">
              <w:rPr>
                <w:rFonts w:ascii="Calibri" w:eastAsia="Times New Roman" w:hAnsi="Calibri" w:cs="Calibri"/>
                <w:i/>
                <w:iCs/>
                <w:color w:val="000000"/>
                <w:sz w:val="20"/>
                <w:szCs w:val="20"/>
                <w:lang w:val="fr-FR" w:eastAsia="fr-FR"/>
              </w:rPr>
              <w:t>Relatives</w:t>
            </w:r>
          </w:p>
        </w:tc>
        <w:tc>
          <w:tcPr>
            <w:tcW w:w="366" w:type="pct"/>
            <w:tcBorders>
              <w:top w:val="nil"/>
              <w:left w:val="nil"/>
              <w:bottom w:val="nil"/>
              <w:right w:val="nil"/>
            </w:tcBorders>
            <w:shd w:val="clear" w:color="auto" w:fill="auto"/>
            <w:noWrap/>
            <w:vAlign w:val="bottom"/>
            <w:hideMark/>
          </w:tcPr>
          <w:p w14:paraId="42D67B77"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41.68</w:t>
            </w:r>
          </w:p>
        </w:tc>
        <w:tc>
          <w:tcPr>
            <w:tcW w:w="109" w:type="pct"/>
            <w:tcBorders>
              <w:top w:val="nil"/>
              <w:left w:val="nil"/>
              <w:bottom w:val="nil"/>
              <w:right w:val="nil"/>
            </w:tcBorders>
            <w:shd w:val="clear" w:color="auto" w:fill="auto"/>
            <w:noWrap/>
            <w:vAlign w:val="bottom"/>
            <w:hideMark/>
          </w:tcPr>
          <w:p w14:paraId="394B59E0"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1AC3B175"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54.26</w:t>
            </w:r>
          </w:p>
        </w:tc>
        <w:tc>
          <w:tcPr>
            <w:tcW w:w="570" w:type="pct"/>
            <w:tcBorders>
              <w:top w:val="nil"/>
              <w:left w:val="nil"/>
              <w:bottom w:val="nil"/>
              <w:right w:val="nil"/>
            </w:tcBorders>
            <w:shd w:val="clear" w:color="auto" w:fill="auto"/>
            <w:noWrap/>
            <w:vAlign w:val="bottom"/>
            <w:hideMark/>
          </w:tcPr>
          <w:p w14:paraId="607B8921"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50.00</w:t>
            </w:r>
          </w:p>
        </w:tc>
        <w:tc>
          <w:tcPr>
            <w:tcW w:w="366" w:type="pct"/>
            <w:tcBorders>
              <w:top w:val="nil"/>
              <w:left w:val="nil"/>
              <w:bottom w:val="nil"/>
              <w:right w:val="nil"/>
            </w:tcBorders>
            <w:shd w:val="clear" w:color="auto" w:fill="auto"/>
            <w:noWrap/>
            <w:vAlign w:val="bottom"/>
            <w:hideMark/>
          </w:tcPr>
          <w:p w14:paraId="7E489698"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41.18</w:t>
            </w:r>
          </w:p>
        </w:tc>
        <w:tc>
          <w:tcPr>
            <w:tcW w:w="819" w:type="pct"/>
            <w:tcBorders>
              <w:top w:val="nil"/>
              <w:left w:val="nil"/>
              <w:bottom w:val="nil"/>
              <w:right w:val="nil"/>
            </w:tcBorders>
            <w:shd w:val="clear" w:color="auto" w:fill="auto"/>
            <w:noWrap/>
            <w:vAlign w:val="bottom"/>
            <w:hideMark/>
          </w:tcPr>
          <w:p w14:paraId="41C63CBB"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20.27</w:t>
            </w:r>
          </w:p>
        </w:tc>
        <w:tc>
          <w:tcPr>
            <w:tcW w:w="630" w:type="pct"/>
            <w:tcBorders>
              <w:top w:val="nil"/>
              <w:left w:val="nil"/>
              <w:bottom w:val="nil"/>
              <w:right w:val="nil"/>
            </w:tcBorders>
            <w:shd w:val="clear" w:color="auto" w:fill="auto"/>
            <w:noWrap/>
            <w:vAlign w:val="bottom"/>
            <w:hideMark/>
          </w:tcPr>
          <w:p w14:paraId="6D14A0FB"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66.67</w:t>
            </w:r>
          </w:p>
        </w:tc>
        <w:tc>
          <w:tcPr>
            <w:tcW w:w="366" w:type="pct"/>
            <w:tcBorders>
              <w:top w:val="nil"/>
              <w:left w:val="nil"/>
              <w:bottom w:val="nil"/>
              <w:right w:val="nil"/>
            </w:tcBorders>
            <w:shd w:val="clear" w:color="auto" w:fill="auto"/>
            <w:noWrap/>
            <w:vAlign w:val="bottom"/>
            <w:hideMark/>
          </w:tcPr>
          <w:p w14:paraId="4B70AF3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39.24</w:t>
            </w:r>
          </w:p>
        </w:tc>
        <w:tc>
          <w:tcPr>
            <w:tcW w:w="376" w:type="pct"/>
            <w:tcBorders>
              <w:top w:val="nil"/>
              <w:left w:val="nil"/>
              <w:bottom w:val="nil"/>
              <w:right w:val="nil"/>
            </w:tcBorders>
            <w:shd w:val="clear" w:color="auto" w:fill="auto"/>
            <w:noWrap/>
            <w:vAlign w:val="bottom"/>
            <w:hideMark/>
          </w:tcPr>
          <w:p w14:paraId="3CFF093B"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42.86</w:t>
            </w:r>
          </w:p>
        </w:tc>
      </w:tr>
      <w:tr w:rsidR="00095768" w:rsidRPr="00095768" w14:paraId="25284391" w14:textId="77777777" w:rsidTr="00095768">
        <w:trPr>
          <w:trHeight w:val="288"/>
        </w:trPr>
        <w:tc>
          <w:tcPr>
            <w:tcW w:w="1006" w:type="pct"/>
            <w:tcBorders>
              <w:top w:val="nil"/>
              <w:left w:val="nil"/>
              <w:bottom w:val="nil"/>
              <w:right w:val="nil"/>
            </w:tcBorders>
            <w:shd w:val="clear" w:color="auto" w:fill="auto"/>
            <w:noWrap/>
            <w:vAlign w:val="bottom"/>
            <w:hideMark/>
          </w:tcPr>
          <w:p w14:paraId="0D24E3FF"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r w:rsidRPr="00095768">
              <w:rPr>
                <w:rFonts w:ascii="Calibri" w:eastAsia="Times New Roman" w:hAnsi="Calibri" w:cs="Calibri"/>
                <w:i/>
                <w:iCs/>
                <w:color w:val="000000"/>
                <w:sz w:val="20"/>
                <w:szCs w:val="20"/>
                <w:lang w:val="fr-FR" w:eastAsia="fr-FR"/>
              </w:rPr>
              <w:t>Labour</w:t>
            </w:r>
          </w:p>
        </w:tc>
        <w:tc>
          <w:tcPr>
            <w:tcW w:w="366" w:type="pct"/>
            <w:tcBorders>
              <w:top w:val="nil"/>
              <w:left w:val="nil"/>
              <w:bottom w:val="nil"/>
              <w:right w:val="nil"/>
            </w:tcBorders>
            <w:shd w:val="clear" w:color="auto" w:fill="auto"/>
            <w:noWrap/>
            <w:vAlign w:val="bottom"/>
            <w:hideMark/>
          </w:tcPr>
          <w:p w14:paraId="5B4B6130"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17.04</w:t>
            </w:r>
          </w:p>
        </w:tc>
        <w:tc>
          <w:tcPr>
            <w:tcW w:w="109" w:type="pct"/>
            <w:tcBorders>
              <w:top w:val="nil"/>
              <w:left w:val="nil"/>
              <w:bottom w:val="nil"/>
              <w:right w:val="nil"/>
            </w:tcBorders>
            <w:shd w:val="clear" w:color="auto" w:fill="auto"/>
            <w:noWrap/>
            <w:vAlign w:val="bottom"/>
            <w:hideMark/>
          </w:tcPr>
          <w:p w14:paraId="75DC4713"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p>
        </w:tc>
        <w:tc>
          <w:tcPr>
            <w:tcW w:w="393" w:type="pct"/>
            <w:tcBorders>
              <w:top w:val="nil"/>
              <w:left w:val="nil"/>
              <w:bottom w:val="nil"/>
              <w:right w:val="nil"/>
            </w:tcBorders>
            <w:shd w:val="clear" w:color="auto" w:fill="auto"/>
            <w:noWrap/>
            <w:vAlign w:val="bottom"/>
            <w:hideMark/>
          </w:tcPr>
          <w:p w14:paraId="1E9F9F8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3.19</w:t>
            </w:r>
          </w:p>
        </w:tc>
        <w:tc>
          <w:tcPr>
            <w:tcW w:w="570" w:type="pct"/>
            <w:tcBorders>
              <w:top w:val="nil"/>
              <w:left w:val="nil"/>
              <w:bottom w:val="nil"/>
              <w:right w:val="nil"/>
            </w:tcBorders>
            <w:shd w:val="clear" w:color="auto" w:fill="auto"/>
            <w:noWrap/>
            <w:vAlign w:val="bottom"/>
            <w:hideMark/>
          </w:tcPr>
          <w:p w14:paraId="6CB81984"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8.00</w:t>
            </w:r>
          </w:p>
        </w:tc>
        <w:tc>
          <w:tcPr>
            <w:tcW w:w="366" w:type="pct"/>
            <w:tcBorders>
              <w:top w:val="nil"/>
              <w:left w:val="nil"/>
              <w:bottom w:val="nil"/>
              <w:right w:val="nil"/>
            </w:tcBorders>
            <w:shd w:val="clear" w:color="auto" w:fill="auto"/>
            <w:noWrap/>
            <w:vAlign w:val="bottom"/>
            <w:hideMark/>
          </w:tcPr>
          <w:p w14:paraId="6DB7D97B"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23.53</w:t>
            </w:r>
          </w:p>
        </w:tc>
        <w:tc>
          <w:tcPr>
            <w:tcW w:w="819" w:type="pct"/>
            <w:tcBorders>
              <w:top w:val="nil"/>
              <w:left w:val="nil"/>
              <w:bottom w:val="nil"/>
              <w:right w:val="nil"/>
            </w:tcBorders>
            <w:shd w:val="clear" w:color="auto" w:fill="auto"/>
            <w:noWrap/>
            <w:vAlign w:val="bottom"/>
            <w:hideMark/>
          </w:tcPr>
          <w:p w14:paraId="411F3FB1"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56.76</w:t>
            </w:r>
          </w:p>
        </w:tc>
        <w:tc>
          <w:tcPr>
            <w:tcW w:w="630" w:type="pct"/>
            <w:tcBorders>
              <w:top w:val="nil"/>
              <w:left w:val="nil"/>
              <w:bottom w:val="nil"/>
              <w:right w:val="nil"/>
            </w:tcBorders>
            <w:shd w:val="clear" w:color="auto" w:fill="auto"/>
            <w:noWrap/>
            <w:vAlign w:val="bottom"/>
            <w:hideMark/>
          </w:tcPr>
          <w:p w14:paraId="66DB3474"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0.00</w:t>
            </w:r>
          </w:p>
        </w:tc>
        <w:tc>
          <w:tcPr>
            <w:tcW w:w="366" w:type="pct"/>
            <w:tcBorders>
              <w:top w:val="nil"/>
              <w:left w:val="nil"/>
              <w:bottom w:val="nil"/>
              <w:right w:val="nil"/>
            </w:tcBorders>
            <w:shd w:val="clear" w:color="auto" w:fill="auto"/>
            <w:noWrap/>
            <w:vAlign w:val="bottom"/>
            <w:hideMark/>
          </w:tcPr>
          <w:p w14:paraId="0278271A"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7.59</w:t>
            </w:r>
          </w:p>
        </w:tc>
        <w:tc>
          <w:tcPr>
            <w:tcW w:w="376" w:type="pct"/>
            <w:tcBorders>
              <w:top w:val="nil"/>
              <w:left w:val="nil"/>
              <w:bottom w:val="nil"/>
              <w:right w:val="nil"/>
            </w:tcBorders>
            <w:shd w:val="clear" w:color="auto" w:fill="auto"/>
            <w:noWrap/>
            <w:vAlign w:val="bottom"/>
            <w:hideMark/>
          </w:tcPr>
          <w:p w14:paraId="5680C592"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9.52</w:t>
            </w:r>
          </w:p>
        </w:tc>
      </w:tr>
      <w:tr w:rsidR="00095768" w:rsidRPr="00095768" w14:paraId="7939E8B1" w14:textId="77777777" w:rsidTr="00095768">
        <w:trPr>
          <w:trHeight w:val="288"/>
        </w:trPr>
        <w:tc>
          <w:tcPr>
            <w:tcW w:w="1006" w:type="pct"/>
            <w:tcBorders>
              <w:top w:val="nil"/>
              <w:left w:val="nil"/>
              <w:bottom w:val="nil"/>
              <w:right w:val="nil"/>
            </w:tcBorders>
            <w:shd w:val="clear" w:color="auto" w:fill="auto"/>
            <w:noWrap/>
            <w:vAlign w:val="bottom"/>
            <w:hideMark/>
          </w:tcPr>
          <w:p w14:paraId="14B4CDC5"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proofErr w:type="spellStart"/>
            <w:r w:rsidRPr="00095768">
              <w:rPr>
                <w:rFonts w:ascii="Calibri" w:eastAsia="Times New Roman" w:hAnsi="Calibri" w:cs="Calibri"/>
                <w:i/>
                <w:iCs/>
                <w:color w:val="000000"/>
                <w:sz w:val="20"/>
                <w:szCs w:val="20"/>
                <w:lang w:val="fr-FR" w:eastAsia="fr-FR"/>
              </w:rPr>
              <w:t>Others</w:t>
            </w:r>
            <w:proofErr w:type="spellEnd"/>
          </w:p>
        </w:tc>
        <w:tc>
          <w:tcPr>
            <w:tcW w:w="366" w:type="pct"/>
            <w:tcBorders>
              <w:top w:val="nil"/>
              <w:left w:val="nil"/>
              <w:bottom w:val="nil"/>
              <w:right w:val="nil"/>
            </w:tcBorders>
            <w:shd w:val="clear" w:color="auto" w:fill="auto"/>
            <w:noWrap/>
            <w:vAlign w:val="bottom"/>
            <w:hideMark/>
          </w:tcPr>
          <w:p w14:paraId="7746CBF7"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11.09</w:t>
            </w:r>
          </w:p>
        </w:tc>
        <w:tc>
          <w:tcPr>
            <w:tcW w:w="109" w:type="pct"/>
            <w:tcBorders>
              <w:top w:val="nil"/>
              <w:left w:val="nil"/>
              <w:bottom w:val="nil"/>
              <w:right w:val="nil"/>
            </w:tcBorders>
            <w:shd w:val="clear" w:color="auto" w:fill="auto"/>
            <w:noWrap/>
            <w:vAlign w:val="bottom"/>
            <w:hideMark/>
          </w:tcPr>
          <w:p w14:paraId="720BB4EB"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p>
        </w:tc>
        <w:tc>
          <w:tcPr>
            <w:tcW w:w="393" w:type="pct"/>
            <w:tcBorders>
              <w:top w:val="nil"/>
              <w:left w:val="nil"/>
              <w:bottom w:val="nil"/>
              <w:right w:val="nil"/>
            </w:tcBorders>
            <w:shd w:val="clear" w:color="auto" w:fill="auto"/>
            <w:noWrap/>
            <w:vAlign w:val="bottom"/>
            <w:hideMark/>
          </w:tcPr>
          <w:p w14:paraId="462894AE"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12.77</w:t>
            </w:r>
          </w:p>
        </w:tc>
        <w:tc>
          <w:tcPr>
            <w:tcW w:w="570" w:type="pct"/>
            <w:tcBorders>
              <w:top w:val="nil"/>
              <w:left w:val="nil"/>
              <w:bottom w:val="nil"/>
              <w:right w:val="nil"/>
            </w:tcBorders>
            <w:shd w:val="clear" w:color="auto" w:fill="auto"/>
            <w:noWrap/>
            <w:vAlign w:val="bottom"/>
            <w:hideMark/>
          </w:tcPr>
          <w:p w14:paraId="1DDCB40D"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11.00</w:t>
            </w:r>
          </w:p>
        </w:tc>
        <w:tc>
          <w:tcPr>
            <w:tcW w:w="366" w:type="pct"/>
            <w:tcBorders>
              <w:top w:val="nil"/>
              <w:left w:val="nil"/>
              <w:bottom w:val="nil"/>
              <w:right w:val="nil"/>
            </w:tcBorders>
            <w:shd w:val="clear" w:color="auto" w:fill="auto"/>
            <w:noWrap/>
            <w:vAlign w:val="bottom"/>
            <w:hideMark/>
          </w:tcPr>
          <w:p w14:paraId="36F40C3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10.29</w:t>
            </w:r>
          </w:p>
        </w:tc>
        <w:tc>
          <w:tcPr>
            <w:tcW w:w="819" w:type="pct"/>
            <w:tcBorders>
              <w:top w:val="nil"/>
              <w:left w:val="nil"/>
              <w:bottom w:val="nil"/>
              <w:right w:val="nil"/>
            </w:tcBorders>
            <w:shd w:val="clear" w:color="auto" w:fill="auto"/>
            <w:noWrap/>
            <w:vAlign w:val="bottom"/>
            <w:hideMark/>
          </w:tcPr>
          <w:p w14:paraId="4B85B4B5"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9.46</w:t>
            </w:r>
          </w:p>
        </w:tc>
        <w:tc>
          <w:tcPr>
            <w:tcW w:w="630" w:type="pct"/>
            <w:tcBorders>
              <w:top w:val="nil"/>
              <w:left w:val="nil"/>
              <w:bottom w:val="nil"/>
              <w:right w:val="nil"/>
            </w:tcBorders>
            <w:shd w:val="clear" w:color="auto" w:fill="auto"/>
            <w:noWrap/>
            <w:vAlign w:val="bottom"/>
            <w:hideMark/>
          </w:tcPr>
          <w:p w14:paraId="637260F6"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33.33</w:t>
            </w:r>
          </w:p>
        </w:tc>
        <w:tc>
          <w:tcPr>
            <w:tcW w:w="366" w:type="pct"/>
            <w:tcBorders>
              <w:top w:val="nil"/>
              <w:left w:val="nil"/>
              <w:bottom w:val="nil"/>
              <w:right w:val="nil"/>
            </w:tcBorders>
            <w:shd w:val="clear" w:color="auto" w:fill="auto"/>
            <w:noWrap/>
            <w:vAlign w:val="bottom"/>
            <w:hideMark/>
          </w:tcPr>
          <w:p w14:paraId="35FEBC12"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10.13</w:t>
            </w:r>
          </w:p>
        </w:tc>
        <w:tc>
          <w:tcPr>
            <w:tcW w:w="376" w:type="pct"/>
            <w:tcBorders>
              <w:top w:val="nil"/>
              <w:left w:val="nil"/>
              <w:bottom w:val="nil"/>
              <w:right w:val="nil"/>
            </w:tcBorders>
            <w:shd w:val="clear" w:color="auto" w:fill="auto"/>
            <w:noWrap/>
            <w:vAlign w:val="bottom"/>
            <w:hideMark/>
          </w:tcPr>
          <w:p w14:paraId="0881DE4D"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4.76</w:t>
            </w:r>
          </w:p>
        </w:tc>
      </w:tr>
      <w:tr w:rsidR="00095768" w:rsidRPr="00095768" w14:paraId="4D7FC49D" w14:textId="77777777" w:rsidTr="00095768">
        <w:trPr>
          <w:trHeight w:val="288"/>
        </w:trPr>
        <w:tc>
          <w:tcPr>
            <w:tcW w:w="1006" w:type="pct"/>
            <w:tcBorders>
              <w:top w:val="nil"/>
              <w:left w:val="nil"/>
              <w:bottom w:val="nil"/>
              <w:right w:val="nil"/>
            </w:tcBorders>
            <w:shd w:val="clear" w:color="auto" w:fill="auto"/>
            <w:noWrap/>
            <w:vAlign w:val="bottom"/>
            <w:hideMark/>
          </w:tcPr>
          <w:p w14:paraId="3DA0BB66" w14:textId="77777777" w:rsidR="00095768" w:rsidRPr="00095768" w:rsidRDefault="00095768" w:rsidP="00095768">
            <w:pPr>
              <w:spacing w:after="0"/>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 xml:space="preserve">Semi </w:t>
            </w:r>
            <w:proofErr w:type="spellStart"/>
            <w:r w:rsidRPr="00095768">
              <w:rPr>
                <w:rFonts w:ascii="Calibri" w:eastAsia="Times New Roman" w:hAnsi="Calibri" w:cs="Calibri"/>
                <w:color w:val="000000"/>
                <w:sz w:val="20"/>
                <w:szCs w:val="20"/>
                <w:lang w:val="fr-FR" w:eastAsia="fr-FR"/>
              </w:rPr>
              <w:t>formal</w:t>
            </w:r>
            <w:proofErr w:type="spellEnd"/>
          </w:p>
        </w:tc>
        <w:tc>
          <w:tcPr>
            <w:tcW w:w="366" w:type="pct"/>
            <w:tcBorders>
              <w:top w:val="nil"/>
              <w:left w:val="nil"/>
              <w:bottom w:val="nil"/>
              <w:right w:val="nil"/>
            </w:tcBorders>
            <w:shd w:val="clear" w:color="auto" w:fill="auto"/>
            <w:noWrap/>
            <w:vAlign w:val="bottom"/>
            <w:hideMark/>
          </w:tcPr>
          <w:p w14:paraId="5A41FD83" w14:textId="77777777" w:rsidR="00095768" w:rsidRPr="00095768" w:rsidRDefault="00095768" w:rsidP="00095768">
            <w:pPr>
              <w:spacing w:after="0"/>
              <w:rPr>
                <w:rFonts w:ascii="Calibri" w:eastAsia="Times New Roman" w:hAnsi="Calibri" w:cs="Calibri"/>
                <w:color w:val="000000"/>
                <w:sz w:val="20"/>
                <w:szCs w:val="20"/>
                <w:lang w:val="fr-FR" w:eastAsia="fr-FR"/>
              </w:rPr>
            </w:pPr>
          </w:p>
        </w:tc>
        <w:tc>
          <w:tcPr>
            <w:tcW w:w="109" w:type="pct"/>
            <w:tcBorders>
              <w:top w:val="nil"/>
              <w:left w:val="nil"/>
              <w:bottom w:val="nil"/>
              <w:right w:val="nil"/>
            </w:tcBorders>
            <w:shd w:val="clear" w:color="auto" w:fill="auto"/>
            <w:noWrap/>
            <w:vAlign w:val="bottom"/>
            <w:hideMark/>
          </w:tcPr>
          <w:p w14:paraId="30A7730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93" w:type="pct"/>
            <w:tcBorders>
              <w:top w:val="nil"/>
              <w:left w:val="nil"/>
              <w:bottom w:val="nil"/>
              <w:right w:val="nil"/>
            </w:tcBorders>
            <w:shd w:val="clear" w:color="auto" w:fill="auto"/>
            <w:noWrap/>
            <w:vAlign w:val="bottom"/>
            <w:hideMark/>
          </w:tcPr>
          <w:p w14:paraId="22F5286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570" w:type="pct"/>
            <w:tcBorders>
              <w:top w:val="nil"/>
              <w:left w:val="nil"/>
              <w:bottom w:val="nil"/>
              <w:right w:val="nil"/>
            </w:tcBorders>
            <w:shd w:val="clear" w:color="auto" w:fill="auto"/>
            <w:noWrap/>
            <w:vAlign w:val="bottom"/>
            <w:hideMark/>
          </w:tcPr>
          <w:p w14:paraId="321C45EC"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66" w:type="pct"/>
            <w:tcBorders>
              <w:top w:val="nil"/>
              <w:left w:val="nil"/>
              <w:bottom w:val="nil"/>
              <w:right w:val="nil"/>
            </w:tcBorders>
            <w:shd w:val="clear" w:color="auto" w:fill="auto"/>
            <w:noWrap/>
            <w:vAlign w:val="bottom"/>
            <w:hideMark/>
          </w:tcPr>
          <w:p w14:paraId="01B3394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19" w:type="pct"/>
            <w:tcBorders>
              <w:top w:val="nil"/>
              <w:left w:val="nil"/>
              <w:bottom w:val="nil"/>
              <w:right w:val="nil"/>
            </w:tcBorders>
            <w:shd w:val="clear" w:color="auto" w:fill="auto"/>
            <w:noWrap/>
            <w:vAlign w:val="bottom"/>
            <w:hideMark/>
          </w:tcPr>
          <w:p w14:paraId="53A99B75"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630" w:type="pct"/>
            <w:tcBorders>
              <w:top w:val="nil"/>
              <w:left w:val="nil"/>
              <w:bottom w:val="nil"/>
              <w:right w:val="nil"/>
            </w:tcBorders>
            <w:shd w:val="clear" w:color="auto" w:fill="auto"/>
            <w:noWrap/>
            <w:vAlign w:val="bottom"/>
            <w:hideMark/>
          </w:tcPr>
          <w:p w14:paraId="2CBDAD9A"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66" w:type="pct"/>
            <w:tcBorders>
              <w:top w:val="nil"/>
              <w:left w:val="nil"/>
              <w:bottom w:val="nil"/>
              <w:right w:val="nil"/>
            </w:tcBorders>
            <w:shd w:val="clear" w:color="auto" w:fill="auto"/>
            <w:noWrap/>
            <w:vAlign w:val="bottom"/>
            <w:hideMark/>
          </w:tcPr>
          <w:p w14:paraId="03B9AC1D"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76" w:type="pct"/>
            <w:tcBorders>
              <w:top w:val="nil"/>
              <w:left w:val="nil"/>
              <w:bottom w:val="nil"/>
              <w:right w:val="nil"/>
            </w:tcBorders>
            <w:shd w:val="clear" w:color="auto" w:fill="auto"/>
            <w:noWrap/>
            <w:vAlign w:val="bottom"/>
            <w:hideMark/>
          </w:tcPr>
          <w:p w14:paraId="050C8CBC"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r>
      <w:tr w:rsidR="00095768" w:rsidRPr="00095768" w14:paraId="73F14467" w14:textId="77777777" w:rsidTr="00095768">
        <w:trPr>
          <w:trHeight w:val="288"/>
        </w:trPr>
        <w:tc>
          <w:tcPr>
            <w:tcW w:w="1006" w:type="pct"/>
            <w:tcBorders>
              <w:top w:val="nil"/>
              <w:left w:val="nil"/>
              <w:bottom w:val="nil"/>
              <w:right w:val="nil"/>
            </w:tcBorders>
            <w:shd w:val="clear" w:color="auto" w:fill="auto"/>
            <w:noWrap/>
            <w:vAlign w:val="bottom"/>
            <w:hideMark/>
          </w:tcPr>
          <w:p w14:paraId="39A69D57"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proofErr w:type="spellStart"/>
            <w:r w:rsidRPr="00095768">
              <w:rPr>
                <w:rFonts w:ascii="Calibri" w:eastAsia="Times New Roman" w:hAnsi="Calibri" w:cs="Calibri"/>
                <w:i/>
                <w:iCs/>
                <w:color w:val="000000"/>
                <w:sz w:val="20"/>
                <w:szCs w:val="20"/>
                <w:lang w:val="fr-FR" w:eastAsia="fr-FR"/>
              </w:rPr>
              <w:t>Pawn</w:t>
            </w:r>
            <w:proofErr w:type="spellEnd"/>
            <w:r w:rsidRPr="00095768">
              <w:rPr>
                <w:rFonts w:ascii="Calibri" w:eastAsia="Times New Roman" w:hAnsi="Calibri" w:cs="Calibri"/>
                <w:i/>
                <w:iCs/>
                <w:color w:val="000000"/>
                <w:sz w:val="20"/>
                <w:szCs w:val="20"/>
                <w:lang w:val="fr-FR" w:eastAsia="fr-FR"/>
              </w:rPr>
              <w:t xml:space="preserve"> broker</w:t>
            </w:r>
          </w:p>
        </w:tc>
        <w:tc>
          <w:tcPr>
            <w:tcW w:w="366" w:type="pct"/>
            <w:tcBorders>
              <w:top w:val="nil"/>
              <w:left w:val="nil"/>
              <w:bottom w:val="nil"/>
              <w:right w:val="nil"/>
            </w:tcBorders>
            <w:shd w:val="clear" w:color="auto" w:fill="auto"/>
            <w:noWrap/>
            <w:vAlign w:val="bottom"/>
            <w:hideMark/>
          </w:tcPr>
          <w:p w14:paraId="47EEF86F"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61.40</w:t>
            </w:r>
          </w:p>
        </w:tc>
        <w:tc>
          <w:tcPr>
            <w:tcW w:w="109" w:type="pct"/>
            <w:tcBorders>
              <w:top w:val="nil"/>
              <w:left w:val="nil"/>
              <w:bottom w:val="nil"/>
              <w:right w:val="nil"/>
            </w:tcBorders>
            <w:shd w:val="clear" w:color="auto" w:fill="auto"/>
            <w:noWrap/>
            <w:vAlign w:val="bottom"/>
            <w:hideMark/>
          </w:tcPr>
          <w:p w14:paraId="35BD8E65"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440C8AE3"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63.83</w:t>
            </w:r>
          </w:p>
        </w:tc>
        <w:tc>
          <w:tcPr>
            <w:tcW w:w="570" w:type="pct"/>
            <w:tcBorders>
              <w:top w:val="nil"/>
              <w:left w:val="nil"/>
              <w:bottom w:val="nil"/>
              <w:right w:val="nil"/>
            </w:tcBorders>
            <w:shd w:val="clear" w:color="auto" w:fill="auto"/>
            <w:noWrap/>
            <w:vAlign w:val="bottom"/>
            <w:hideMark/>
          </w:tcPr>
          <w:p w14:paraId="30390A45"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53.00</w:t>
            </w:r>
          </w:p>
        </w:tc>
        <w:tc>
          <w:tcPr>
            <w:tcW w:w="366" w:type="pct"/>
            <w:tcBorders>
              <w:top w:val="nil"/>
              <w:left w:val="nil"/>
              <w:bottom w:val="nil"/>
              <w:right w:val="nil"/>
            </w:tcBorders>
            <w:shd w:val="clear" w:color="auto" w:fill="auto"/>
            <w:noWrap/>
            <w:vAlign w:val="bottom"/>
            <w:hideMark/>
          </w:tcPr>
          <w:p w14:paraId="174BD0CF"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63.24</w:t>
            </w:r>
          </w:p>
        </w:tc>
        <w:tc>
          <w:tcPr>
            <w:tcW w:w="819" w:type="pct"/>
            <w:tcBorders>
              <w:top w:val="nil"/>
              <w:left w:val="nil"/>
              <w:bottom w:val="nil"/>
              <w:right w:val="nil"/>
            </w:tcBorders>
            <w:shd w:val="clear" w:color="auto" w:fill="auto"/>
            <w:noWrap/>
            <w:vAlign w:val="bottom"/>
            <w:hideMark/>
          </w:tcPr>
          <w:p w14:paraId="52966393"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63.51</w:t>
            </w:r>
          </w:p>
        </w:tc>
        <w:tc>
          <w:tcPr>
            <w:tcW w:w="630" w:type="pct"/>
            <w:tcBorders>
              <w:top w:val="nil"/>
              <w:left w:val="nil"/>
              <w:bottom w:val="nil"/>
              <w:right w:val="nil"/>
            </w:tcBorders>
            <w:shd w:val="clear" w:color="auto" w:fill="auto"/>
            <w:noWrap/>
            <w:vAlign w:val="bottom"/>
            <w:hideMark/>
          </w:tcPr>
          <w:p w14:paraId="6E76D817"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77.78</w:t>
            </w:r>
          </w:p>
        </w:tc>
        <w:tc>
          <w:tcPr>
            <w:tcW w:w="366" w:type="pct"/>
            <w:tcBorders>
              <w:top w:val="nil"/>
              <w:left w:val="nil"/>
              <w:bottom w:val="nil"/>
              <w:right w:val="nil"/>
            </w:tcBorders>
            <w:shd w:val="clear" w:color="auto" w:fill="auto"/>
            <w:noWrap/>
            <w:vAlign w:val="bottom"/>
            <w:hideMark/>
          </w:tcPr>
          <w:p w14:paraId="604CD474"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62.03</w:t>
            </w:r>
          </w:p>
        </w:tc>
        <w:tc>
          <w:tcPr>
            <w:tcW w:w="376" w:type="pct"/>
            <w:tcBorders>
              <w:top w:val="nil"/>
              <w:left w:val="nil"/>
              <w:bottom w:val="nil"/>
              <w:right w:val="nil"/>
            </w:tcBorders>
            <w:shd w:val="clear" w:color="auto" w:fill="auto"/>
            <w:noWrap/>
            <w:vAlign w:val="bottom"/>
            <w:hideMark/>
          </w:tcPr>
          <w:p w14:paraId="7E7F47C5"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85.71</w:t>
            </w:r>
          </w:p>
        </w:tc>
      </w:tr>
      <w:tr w:rsidR="00095768" w:rsidRPr="00095768" w14:paraId="469DEA3E" w14:textId="77777777" w:rsidTr="00095768">
        <w:trPr>
          <w:trHeight w:val="288"/>
        </w:trPr>
        <w:tc>
          <w:tcPr>
            <w:tcW w:w="1006" w:type="pct"/>
            <w:tcBorders>
              <w:top w:val="nil"/>
              <w:left w:val="nil"/>
              <w:bottom w:val="nil"/>
              <w:right w:val="nil"/>
            </w:tcBorders>
            <w:shd w:val="clear" w:color="auto" w:fill="auto"/>
            <w:noWrap/>
            <w:vAlign w:val="bottom"/>
            <w:hideMark/>
          </w:tcPr>
          <w:p w14:paraId="09DA1CBB"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r w:rsidRPr="00095768">
              <w:rPr>
                <w:rFonts w:ascii="Calibri" w:eastAsia="Times New Roman" w:hAnsi="Calibri" w:cs="Calibri"/>
                <w:i/>
                <w:iCs/>
                <w:color w:val="000000"/>
                <w:sz w:val="20"/>
                <w:szCs w:val="20"/>
                <w:lang w:val="fr-FR" w:eastAsia="fr-FR"/>
              </w:rPr>
              <w:t xml:space="preserve">SHG </w:t>
            </w:r>
            <w:proofErr w:type="spellStart"/>
            <w:r w:rsidRPr="00095768">
              <w:rPr>
                <w:rFonts w:ascii="Calibri" w:eastAsia="Times New Roman" w:hAnsi="Calibri" w:cs="Calibri"/>
                <w:i/>
                <w:iCs/>
                <w:color w:val="000000"/>
                <w:sz w:val="20"/>
                <w:szCs w:val="20"/>
                <w:lang w:val="fr-FR" w:eastAsia="fr-FR"/>
              </w:rPr>
              <w:t>member</w:t>
            </w:r>
            <w:proofErr w:type="spellEnd"/>
          </w:p>
        </w:tc>
        <w:tc>
          <w:tcPr>
            <w:tcW w:w="366" w:type="pct"/>
            <w:tcBorders>
              <w:top w:val="nil"/>
              <w:left w:val="nil"/>
              <w:bottom w:val="nil"/>
              <w:right w:val="nil"/>
            </w:tcBorders>
            <w:shd w:val="clear" w:color="auto" w:fill="auto"/>
            <w:noWrap/>
            <w:vAlign w:val="bottom"/>
            <w:hideMark/>
          </w:tcPr>
          <w:p w14:paraId="0F8CE86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6.78</w:t>
            </w:r>
          </w:p>
        </w:tc>
        <w:tc>
          <w:tcPr>
            <w:tcW w:w="109" w:type="pct"/>
            <w:tcBorders>
              <w:top w:val="nil"/>
              <w:left w:val="nil"/>
              <w:bottom w:val="nil"/>
              <w:right w:val="nil"/>
            </w:tcBorders>
            <w:shd w:val="clear" w:color="auto" w:fill="auto"/>
            <w:noWrap/>
            <w:vAlign w:val="bottom"/>
            <w:hideMark/>
          </w:tcPr>
          <w:p w14:paraId="2BBCB9A5"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022ABCF2"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3.19</w:t>
            </w:r>
          </w:p>
        </w:tc>
        <w:tc>
          <w:tcPr>
            <w:tcW w:w="570" w:type="pct"/>
            <w:tcBorders>
              <w:top w:val="nil"/>
              <w:left w:val="nil"/>
              <w:bottom w:val="nil"/>
              <w:right w:val="nil"/>
            </w:tcBorders>
            <w:shd w:val="clear" w:color="auto" w:fill="auto"/>
            <w:noWrap/>
            <w:vAlign w:val="bottom"/>
            <w:hideMark/>
          </w:tcPr>
          <w:p w14:paraId="3C9F46C3"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7.00</w:t>
            </w:r>
          </w:p>
        </w:tc>
        <w:tc>
          <w:tcPr>
            <w:tcW w:w="366" w:type="pct"/>
            <w:tcBorders>
              <w:top w:val="nil"/>
              <w:left w:val="nil"/>
              <w:bottom w:val="nil"/>
              <w:right w:val="nil"/>
            </w:tcBorders>
            <w:shd w:val="clear" w:color="auto" w:fill="auto"/>
            <w:noWrap/>
            <w:vAlign w:val="bottom"/>
            <w:hideMark/>
          </w:tcPr>
          <w:p w14:paraId="456A7F2F"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8.82</w:t>
            </w:r>
          </w:p>
        </w:tc>
        <w:tc>
          <w:tcPr>
            <w:tcW w:w="819" w:type="pct"/>
            <w:tcBorders>
              <w:top w:val="nil"/>
              <w:left w:val="nil"/>
              <w:bottom w:val="nil"/>
              <w:right w:val="nil"/>
            </w:tcBorders>
            <w:shd w:val="clear" w:color="auto" w:fill="auto"/>
            <w:noWrap/>
            <w:vAlign w:val="bottom"/>
            <w:hideMark/>
          </w:tcPr>
          <w:p w14:paraId="219DFE7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8.11</w:t>
            </w:r>
          </w:p>
        </w:tc>
        <w:tc>
          <w:tcPr>
            <w:tcW w:w="630" w:type="pct"/>
            <w:tcBorders>
              <w:top w:val="nil"/>
              <w:left w:val="nil"/>
              <w:bottom w:val="nil"/>
              <w:right w:val="nil"/>
            </w:tcBorders>
            <w:shd w:val="clear" w:color="auto" w:fill="auto"/>
            <w:noWrap/>
            <w:vAlign w:val="bottom"/>
            <w:hideMark/>
          </w:tcPr>
          <w:p w14:paraId="45383DFA"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22.22</w:t>
            </w:r>
          </w:p>
        </w:tc>
        <w:tc>
          <w:tcPr>
            <w:tcW w:w="366" w:type="pct"/>
            <w:tcBorders>
              <w:top w:val="nil"/>
              <w:left w:val="nil"/>
              <w:bottom w:val="nil"/>
              <w:right w:val="nil"/>
            </w:tcBorders>
            <w:shd w:val="clear" w:color="auto" w:fill="auto"/>
            <w:noWrap/>
            <w:vAlign w:val="bottom"/>
            <w:hideMark/>
          </w:tcPr>
          <w:p w14:paraId="19AE6761"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5.06</w:t>
            </w:r>
          </w:p>
        </w:tc>
        <w:tc>
          <w:tcPr>
            <w:tcW w:w="376" w:type="pct"/>
            <w:tcBorders>
              <w:top w:val="nil"/>
              <w:left w:val="nil"/>
              <w:bottom w:val="nil"/>
              <w:right w:val="nil"/>
            </w:tcBorders>
            <w:shd w:val="clear" w:color="auto" w:fill="auto"/>
            <w:noWrap/>
            <w:vAlign w:val="bottom"/>
            <w:hideMark/>
          </w:tcPr>
          <w:p w14:paraId="52C0B99F"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9.52</w:t>
            </w:r>
          </w:p>
        </w:tc>
      </w:tr>
      <w:tr w:rsidR="00095768" w:rsidRPr="00095768" w14:paraId="6C328E40" w14:textId="77777777" w:rsidTr="00095768">
        <w:trPr>
          <w:trHeight w:val="288"/>
        </w:trPr>
        <w:tc>
          <w:tcPr>
            <w:tcW w:w="1006" w:type="pct"/>
            <w:tcBorders>
              <w:top w:val="nil"/>
              <w:left w:val="nil"/>
              <w:bottom w:val="nil"/>
              <w:right w:val="nil"/>
            </w:tcBorders>
            <w:shd w:val="clear" w:color="auto" w:fill="auto"/>
            <w:noWrap/>
            <w:vAlign w:val="bottom"/>
            <w:hideMark/>
          </w:tcPr>
          <w:p w14:paraId="3330326D" w14:textId="77777777" w:rsidR="00095768" w:rsidRPr="00095768" w:rsidRDefault="00095768" w:rsidP="00095768">
            <w:pPr>
              <w:spacing w:after="0"/>
              <w:rPr>
                <w:rFonts w:ascii="Calibri" w:eastAsia="Times New Roman" w:hAnsi="Calibri" w:cs="Calibri"/>
                <w:color w:val="000000"/>
                <w:sz w:val="20"/>
                <w:szCs w:val="20"/>
                <w:lang w:val="fr-FR" w:eastAsia="fr-FR"/>
              </w:rPr>
            </w:pPr>
            <w:proofErr w:type="spellStart"/>
            <w:r w:rsidRPr="00095768">
              <w:rPr>
                <w:rFonts w:ascii="Calibri" w:eastAsia="Times New Roman" w:hAnsi="Calibri" w:cs="Calibri"/>
                <w:color w:val="000000"/>
                <w:sz w:val="20"/>
                <w:szCs w:val="20"/>
                <w:lang w:val="fr-FR" w:eastAsia="fr-FR"/>
              </w:rPr>
              <w:t>Formal</w:t>
            </w:r>
            <w:proofErr w:type="spellEnd"/>
          </w:p>
        </w:tc>
        <w:tc>
          <w:tcPr>
            <w:tcW w:w="366" w:type="pct"/>
            <w:tcBorders>
              <w:top w:val="nil"/>
              <w:left w:val="nil"/>
              <w:bottom w:val="nil"/>
              <w:right w:val="nil"/>
            </w:tcBorders>
            <w:shd w:val="clear" w:color="auto" w:fill="auto"/>
            <w:noWrap/>
            <w:vAlign w:val="bottom"/>
            <w:hideMark/>
          </w:tcPr>
          <w:p w14:paraId="5B0B5AA2" w14:textId="77777777" w:rsidR="00095768" w:rsidRPr="00095768" w:rsidRDefault="00095768" w:rsidP="00095768">
            <w:pPr>
              <w:spacing w:after="0"/>
              <w:rPr>
                <w:rFonts w:ascii="Calibri" w:eastAsia="Times New Roman" w:hAnsi="Calibri" w:cs="Calibri"/>
                <w:color w:val="000000"/>
                <w:sz w:val="20"/>
                <w:szCs w:val="20"/>
                <w:lang w:val="fr-FR" w:eastAsia="fr-FR"/>
              </w:rPr>
            </w:pPr>
          </w:p>
        </w:tc>
        <w:tc>
          <w:tcPr>
            <w:tcW w:w="109" w:type="pct"/>
            <w:tcBorders>
              <w:top w:val="nil"/>
              <w:left w:val="nil"/>
              <w:bottom w:val="nil"/>
              <w:right w:val="nil"/>
            </w:tcBorders>
            <w:shd w:val="clear" w:color="auto" w:fill="auto"/>
            <w:noWrap/>
            <w:vAlign w:val="bottom"/>
            <w:hideMark/>
          </w:tcPr>
          <w:p w14:paraId="5DA0ED4A"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93" w:type="pct"/>
            <w:tcBorders>
              <w:top w:val="nil"/>
              <w:left w:val="nil"/>
              <w:bottom w:val="nil"/>
              <w:right w:val="nil"/>
            </w:tcBorders>
            <w:shd w:val="clear" w:color="auto" w:fill="auto"/>
            <w:noWrap/>
            <w:vAlign w:val="bottom"/>
            <w:hideMark/>
          </w:tcPr>
          <w:p w14:paraId="01BC1411"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570" w:type="pct"/>
            <w:tcBorders>
              <w:top w:val="nil"/>
              <w:left w:val="nil"/>
              <w:bottom w:val="nil"/>
              <w:right w:val="nil"/>
            </w:tcBorders>
            <w:shd w:val="clear" w:color="auto" w:fill="auto"/>
            <w:noWrap/>
            <w:vAlign w:val="bottom"/>
            <w:hideMark/>
          </w:tcPr>
          <w:p w14:paraId="275A7E09"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66" w:type="pct"/>
            <w:tcBorders>
              <w:top w:val="nil"/>
              <w:left w:val="nil"/>
              <w:bottom w:val="nil"/>
              <w:right w:val="nil"/>
            </w:tcBorders>
            <w:shd w:val="clear" w:color="auto" w:fill="auto"/>
            <w:noWrap/>
            <w:vAlign w:val="bottom"/>
            <w:hideMark/>
          </w:tcPr>
          <w:p w14:paraId="55A1D90A"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819" w:type="pct"/>
            <w:tcBorders>
              <w:top w:val="nil"/>
              <w:left w:val="nil"/>
              <w:bottom w:val="nil"/>
              <w:right w:val="nil"/>
            </w:tcBorders>
            <w:shd w:val="clear" w:color="auto" w:fill="auto"/>
            <w:noWrap/>
            <w:vAlign w:val="bottom"/>
            <w:hideMark/>
          </w:tcPr>
          <w:p w14:paraId="3D104733"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630" w:type="pct"/>
            <w:tcBorders>
              <w:top w:val="nil"/>
              <w:left w:val="nil"/>
              <w:bottom w:val="nil"/>
              <w:right w:val="nil"/>
            </w:tcBorders>
            <w:shd w:val="clear" w:color="auto" w:fill="auto"/>
            <w:noWrap/>
            <w:vAlign w:val="bottom"/>
            <w:hideMark/>
          </w:tcPr>
          <w:p w14:paraId="34883EF4"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66" w:type="pct"/>
            <w:tcBorders>
              <w:top w:val="nil"/>
              <w:left w:val="nil"/>
              <w:bottom w:val="nil"/>
              <w:right w:val="nil"/>
            </w:tcBorders>
            <w:shd w:val="clear" w:color="auto" w:fill="auto"/>
            <w:noWrap/>
            <w:vAlign w:val="bottom"/>
            <w:hideMark/>
          </w:tcPr>
          <w:p w14:paraId="69E3DECB"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c>
          <w:tcPr>
            <w:tcW w:w="376" w:type="pct"/>
            <w:tcBorders>
              <w:top w:val="nil"/>
              <w:left w:val="nil"/>
              <w:bottom w:val="nil"/>
              <w:right w:val="nil"/>
            </w:tcBorders>
            <w:shd w:val="clear" w:color="auto" w:fill="auto"/>
            <w:noWrap/>
            <w:vAlign w:val="bottom"/>
            <w:hideMark/>
          </w:tcPr>
          <w:p w14:paraId="65E70EE0" w14:textId="77777777" w:rsidR="00095768" w:rsidRPr="00095768" w:rsidRDefault="00095768" w:rsidP="00095768">
            <w:pPr>
              <w:spacing w:after="0"/>
              <w:jc w:val="center"/>
              <w:rPr>
                <w:rFonts w:ascii="Times New Roman" w:eastAsia="Times New Roman" w:hAnsi="Times New Roman" w:cs="Times New Roman"/>
                <w:sz w:val="20"/>
                <w:szCs w:val="20"/>
                <w:lang w:val="fr-FR" w:eastAsia="fr-FR"/>
              </w:rPr>
            </w:pPr>
          </w:p>
        </w:tc>
      </w:tr>
      <w:tr w:rsidR="00095768" w:rsidRPr="00095768" w14:paraId="350459ED" w14:textId="77777777" w:rsidTr="00095768">
        <w:trPr>
          <w:trHeight w:val="288"/>
        </w:trPr>
        <w:tc>
          <w:tcPr>
            <w:tcW w:w="1006" w:type="pct"/>
            <w:tcBorders>
              <w:top w:val="nil"/>
              <w:left w:val="nil"/>
              <w:bottom w:val="nil"/>
              <w:right w:val="nil"/>
            </w:tcBorders>
            <w:shd w:val="clear" w:color="auto" w:fill="auto"/>
            <w:noWrap/>
            <w:vAlign w:val="bottom"/>
            <w:hideMark/>
          </w:tcPr>
          <w:p w14:paraId="6A881626"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r w:rsidRPr="00095768">
              <w:rPr>
                <w:rFonts w:ascii="Calibri" w:eastAsia="Times New Roman" w:hAnsi="Calibri" w:cs="Calibri"/>
                <w:i/>
                <w:iCs/>
                <w:color w:val="000000"/>
                <w:sz w:val="20"/>
                <w:szCs w:val="20"/>
                <w:lang w:val="fr-FR" w:eastAsia="fr-FR"/>
              </w:rPr>
              <w:t>Finance</w:t>
            </w:r>
          </w:p>
        </w:tc>
        <w:tc>
          <w:tcPr>
            <w:tcW w:w="366" w:type="pct"/>
            <w:tcBorders>
              <w:top w:val="nil"/>
              <w:left w:val="nil"/>
              <w:bottom w:val="nil"/>
              <w:right w:val="nil"/>
            </w:tcBorders>
            <w:shd w:val="clear" w:color="auto" w:fill="auto"/>
            <w:noWrap/>
            <w:vAlign w:val="bottom"/>
            <w:hideMark/>
          </w:tcPr>
          <w:p w14:paraId="01C6950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39.22</w:t>
            </w:r>
          </w:p>
        </w:tc>
        <w:tc>
          <w:tcPr>
            <w:tcW w:w="109" w:type="pct"/>
            <w:tcBorders>
              <w:top w:val="nil"/>
              <w:left w:val="nil"/>
              <w:bottom w:val="nil"/>
              <w:right w:val="nil"/>
            </w:tcBorders>
            <w:shd w:val="clear" w:color="auto" w:fill="auto"/>
            <w:noWrap/>
            <w:vAlign w:val="bottom"/>
            <w:hideMark/>
          </w:tcPr>
          <w:p w14:paraId="3A503CF5" w14:textId="77777777" w:rsidR="00095768" w:rsidRPr="00095768" w:rsidRDefault="00095768" w:rsidP="00095768">
            <w:pPr>
              <w:spacing w:after="0"/>
              <w:jc w:val="center"/>
              <w:rPr>
                <w:rFonts w:ascii="Calibri" w:eastAsia="Times New Roman" w:hAnsi="Calibri" w:cs="Calibri"/>
                <w:sz w:val="20"/>
                <w:szCs w:val="20"/>
                <w:lang w:val="fr-FR" w:eastAsia="fr-FR"/>
              </w:rPr>
            </w:pPr>
          </w:p>
        </w:tc>
        <w:tc>
          <w:tcPr>
            <w:tcW w:w="393" w:type="pct"/>
            <w:tcBorders>
              <w:top w:val="nil"/>
              <w:left w:val="nil"/>
              <w:bottom w:val="nil"/>
              <w:right w:val="nil"/>
            </w:tcBorders>
            <w:shd w:val="clear" w:color="auto" w:fill="auto"/>
            <w:noWrap/>
            <w:vAlign w:val="bottom"/>
            <w:hideMark/>
          </w:tcPr>
          <w:p w14:paraId="333F4FCF"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27.66</w:t>
            </w:r>
          </w:p>
        </w:tc>
        <w:tc>
          <w:tcPr>
            <w:tcW w:w="570" w:type="pct"/>
            <w:tcBorders>
              <w:top w:val="nil"/>
              <w:left w:val="nil"/>
              <w:bottom w:val="nil"/>
              <w:right w:val="nil"/>
            </w:tcBorders>
            <w:shd w:val="clear" w:color="auto" w:fill="auto"/>
            <w:noWrap/>
            <w:vAlign w:val="bottom"/>
            <w:hideMark/>
          </w:tcPr>
          <w:p w14:paraId="1EE589A6"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39.00</w:t>
            </w:r>
          </w:p>
        </w:tc>
        <w:tc>
          <w:tcPr>
            <w:tcW w:w="366" w:type="pct"/>
            <w:tcBorders>
              <w:top w:val="nil"/>
              <w:left w:val="nil"/>
              <w:bottom w:val="nil"/>
              <w:right w:val="nil"/>
            </w:tcBorders>
            <w:shd w:val="clear" w:color="auto" w:fill="auto"/>
            <w:noWrap/>
            <w:vAlign w:val="bottom"/>
            <w:hideMark/>
          </w:tcPr>
          <w:p w14:paraId="66DE69C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45.59</w:t>
            </w:r>
          </w:p>
        </w:tc>
        <w:tc>
          <w:tcPr>
            <w:tcW w:w="819" w:type="pct"/>
            <w:tcBorders>
              <w:top w:val="nil"/>
              <w:left w:val="nil"/>
              <w:bottom w:val="nil"/>
              <w:right w:val="nil"/>
            </w:tcBorders>
            <w:shd w:val="clear" w:color="auto" w:fill="auto"/>
            <w:noWrap/>
            <w:vAlign w:val="bottom"/>
            <w:hideMark/>
          </w:tcPr>
          <w:p w14:paraId="7D8D44F8"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25.68</w:t>
            </w:r>
          </w:p>
        </w:tc>
        <w:tc>
          <w:tcPr>
            <w:tcW w:w="630" w:type="pct"/>
            <w:tcBorders>
              <w:top w:val="nil"/>
              <w:left w:val="nil"/>
              <w:bottom w:val="nil"/>
              <w:right w:val="nil"/>
            </w:tcBorders>
            <w:shd w:val="clear" w:color="auto" w:fill="auto"/>
            <w:noWrap/>
            <w:vAlign w:val="bottom"/>
            <w:hideMark/>
          </w:tcPr>
          <w:p w14:paraId="2F9BCF16"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66.67</w:t>
            </w:r>
          </w:p>
        </w:tc>
        <w:tc>
          <w:tcPr>
            <w:tcW w:w="366" w:type="pct"/>
            <w:tcBorders>
              <w:top w:val="nil"/>
              <w:left w:val="nil"/>
              <w:bottom w:val="nil"/>
              <w:right w:val="nil"/>
            </w:tcBorders>
            <w:shd w:val="clear" w:color="auto" w:fill="auto"/>
            <w:noWrap/>
            <w:vAlign w:val="bottom"/>
            <w:hideMark/>
          </w:tcPr>
          <w:p w14:paraId="0764558A"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56.96</w:t>
            </w:r>
          </w:p>
        </w:tc>
        <w:tc>
          <w:tcPr>
            <w:tcW w:w="376" w:type="pct"/>
            <w:tcBorders>
              <w:top w:val="nil"/>
              <w:left w:val="nil"/>
              <w:bottom w:val="nil"/>
              <w:right w:val="nil"/>
            </w:tcBorders>
            <w:shd w:val="clear" w:color="auto" w:fill="auto"/>
            <w:noWrap/>
            <w:vAlign w:val="bottom"/>
            <w:hideMark/>
          </w:tcPr>
          <w:p w14:paraId="2F323ABE"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33.33</w:t>
            </w:r>
          </w:p>
        </w:tc>
      </w:tr>
      <w:tr w:rsidR="00095768" w:rsidRPr="00095768" w14:paraId="76B1CD90" w14:textId="77777777" w:rsidTr="00095768">
        <w:trPr>
          <w:trHeight w:val="288"/>
        </w:trPr>
        <w:tc>
          <w:tcPr>
            <w:tcW w:w="1006" w:type="pct"/>
            <w:tcBorders>
              <w:top w:val="nil"/>
              <w:left w:val="nil"/>
              <w:bottom w:val="single" w:sz="4" w:space="0" w:color="auto"/>
              <w:right w:val="nil"/>
            </w:tcBorders>
            <w:shd w:val="clear" w:color="auto" w:fill="auto"/>
            <w:noWrap/>
            <w:vAlign w:val="bottom"/>
            <w:hideMark/>
          </w:tcPr>
          <w:p w14:paraId="02FA96D8" w14:textId="77777777" w:rsidR="00095768" w:rsidRPr="00095768" w:rsidRDefault="00095768" w:rsidP="00095768">
            <w:pPr>
              <w:spacing w:after="0"/>
              <w:ind w:firstLineChars="100" w:firstLine="200"/>
              <w:rPr>
                <w:rFonts w:ascii="Calibri" w:eastAsia="Times New Roman" w:hAnsi="Calibri" w:cs="Calibri"/>
                <w:i/>
                <w:iCs/>
                <w:color w:val="000000"/>
                <w:sz w:val="20"/>
                <w:szCs w:val="20"/>
                <w:lang w:val="fr-FR" w:eastAsia="fr-FR"/>
              </w:rPr>
            </w:pPr>
            <w:r w:rsidRPr="00095768">
              <w:rPr>
                <w:rFonts w:ascii="Calibri" w:eastAsia="Times New Roman" w:hAnsi="Calibri" w:cs="Calibri"/>
                <w:i/>
                <w:iCs/>
                <w:color w:val="000000"/>
                <w:sz w:val="20"/>
                <w:szCs w:val="20"/>
                <w:lang w:val="fr-FR" w:eastAsia="fr-FR"/>
              </w:rPr>
              <w:t>Banks</w:t>
            </w:r>
          </w:p>
        </w:tc>
        <w:tc>
          <w:tcPr>
            <w:tcW w:w="366" w:type="pct"/>
            <w:tcBorders>
              <w:top w:val="nil"/>
              <w:left w:val="nil"/>
              <w:bottom w:val="single" w:sz="4" w:space="0" w:color="auto"/>
              <w:right w:val="nil"/>
            </w:tcBorders>
            <w:shd w:val="clear" w:color="auto" w:fill="auto"/>
            <w:noWrap/>
            <w:vAlign w:val="bottom"/>
            <w:hideMark/>
          </w:tcPr>
          <w:p w14:paraId="6279835B"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16.02</w:t>
            </w:r>
          </w:p>
        </w:tc>
        <w:tc>
          <w:tcPr>
            <w:tcW w:w="109" w:type="pct"/>
            <w:tcBorders>
              <w:top w:val="nil"/>
              <w:left w:val="nil"/>
              <w:bottom w:val="single" w:sz="4" w:space="0" w:color="auto"/>
              <w:right w:val="nil"/>
            </w:tcBorders>
            <w:shd w:val="clear" w:color="auto" w:fill="auto"/>
            <w:noWrap/>
            <w:vAlign w:val="bottom"/>
            <w:hideMark/>
          </w:tcPr>
          <w:p w14:paraId="6AB11E50" w14:textId="77777777" w:rsidR="00095768" w:rsidRPr="00095768" w:rsidRDefault="00095768" w:rsidP="00095768">
            <w:pPr>
              <w:spacing w:after="0"/>
              <w:jc w:val="center"/>
              <w:rPr>
                <w:rFonts w:ascii="Calibri" w:eastAsia="Times New Roman" w:hAnsi="Calibri" w:cs="Calibri"/>
                <w:color w:val="000000"/>
                <w:sz w:val="20"/>
                <w:szCs w:val="20"/>
                <w:lang w:val="fr-FR" w:eastAsia="fr-FR"/>
              </w:rPr>
            </w:pPr>
            <w:r w:rsidRPr="00095768">
              <w:rPr>
                <w:rFonts w:ascii="Calibri" w:eastAsia="Times New Roman" w:hAnsi="Calibri" w:cs="Calibri"/>
                <w:color w:val="000000"/>
                <w:sz w:val="20"/>
                <w:szCs w:val="20"/>
                <w:lang w:val="fr-FR" w:eastAsia="fr-FR"/>
              </w:rPr>
              <w:t> </w:t>
            </w:r>
          </w:p>
        </w:tc>
        <w:tc>
          <w:tcPr>
            <w:tcW w:w="393" w:type="pct"/>
            <w:tcBorders>
              <w:top w:val="nil"/>
              <w:left w:val="nil"/>
              <w:bottom w:val="single" w:sz="4" w:space="0" w:color="auto"/>
              <w:right w:val="nil"/>
            </w:tcBorders>
            <w:shd w:val="clear" w:color="auto" w:fill="auto"/>
            <w:noWrap/>
            <w:vAlign w:val="bottom"/>
            <w:hideMark/>
          </w:tcPr>
          <w:p w14:paraId="27E4D541"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36.17</w:t>
            </w:r>
          </w:p>
        </w:tc>
        <w:tc>
          <w:tcPr>
            <w:tcW w:w="570" w:type="pct"/>
            <w:tcBorders>
              <w:top w:val="nil"/>
              <w:left w:val="nil"/>
              <w:bottom w:val="single" w:sz="4" w:space="0" w:color="auto"/>
              <w:right w:val="nil"/>
            </w:tcBorders>
            <w:shd w:val="clear" w:color="auto" w:fill="auto"/>
            <w:noWrap/>
            <w:vAlign w:val="bottom"/>
            <w:hideMark/>
          </w:tcPr>
          <w:p w14:paraId="10D5F190"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12.00</w:t>
            </w:r>
          </w:p>
        </w:tc>
        <w:tc>
          <w:tcPr>
            <w:tcW w:w="366" w:type="pct"/>
            <w:tcBorders>
              <w:top w:val="nil"/>
              <w:left w:val="nil"/>
              <w:bottom w:val="single" w:sz="4" w:space="0" w:color="auto"/>
              <w:right w:val="nil"/>
            </w:tcBorders>
            <w:shd w:val="clear" w:color="auto" w:fill="auto"/>
            <w:noWrap/>
            <w:vAlign w:val="bottom"/>
            <w:hideMark/>
          </w:tcPr>
          <w:p w14:paraId="7AA0D7B5"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4.41</w:t>
            </w:r>
          </w:p>
        </w:tc>
        <w:tc>
          <w:tcPr>
            <w:tcW w:w="819" w:type="pct"/>
            <w:tcBorders>
              <w:top w:val="nil"/>
              <w:left w:val="nil"/>
              <w:bottom w:val="single" w:sz="4" w:space="0" w:color="auto"/>
              <w:right w:val="nil"/>
            </w:tcBorders>
            <w:shd w:val="clear" w:color="auto" w:fill="auto"/>
            <w:noWrap/>
            <w:vAlign w:val="bottom"/>
            <w:hideMark/>
          </w:tcPr>
          <w:p w14:paraId="07803604"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10.81</w:t>
            </w:r>
          </w:p>
        </w:tc>
        <w:tc>
          <w:tcPr>
            <w:tcW w:w="630" w:type="pct"/>
            <w:tcBorders>
              <w:top w:val="nil"/>
              <w:left w:val="nil"/>
              <w:bottom w:val="single" w:sz="4" w:space="0" w:color="auto"/>
              <w:right w:val="nil"/>
            </w:tcBorders>
            <w:shd w:val="clear" w:color="auto" w:fill="auto"/>
            <w:noWrap/>
            <w:vAlign w:val="bottom"/>
            <w:hideMark/>
          </w:tcPr>
          <w:p w14:paraId="5CA4E349"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22.22</w:t>
            </w:r>
          </w:p>
        </w:tc>
        <w:tc>
          <w:tcPr>
            <w:tcW w:w="366" w:type="pct"/>
            <w:tcBorders>
              <w:top w:val="nil"/>
              <w:left w:val="nil"/>
              <w:bottom w:val="single" w:sz="4" w:space="0" w:color="auto"/>
              <w:right w:val="nil"/>
            </w:tcBorders>
            <w:shd w:val="clear" w:color="auto" w:fill="auto"/>
            <w:noWrap/>
            <w:vAlign w:val="bottom"/>
            <w:hideMark/>
          </w:tcPr>
          <w:p w14:paraId="3CB04B53"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10.13</w:t>
            </w:r>
          </w:p>
        </w:tc>
        <w:tc>
          <w:tcPr>
            <w:tcW w:w="376" w:type="pct"/>
            <w:tcBorders>
              <w:top w:val="nil"/>
              <w:left w:val="nil"/>
              <w:bottom w:val="single" w:sz="4" w:space="0" w:color="auto"/>
              <w:right w:val="nil"/>
            </w:tcBorders>
            <w:shd w:val="clear" w:color="auto" w:fill="auto"/>
            <w:noWrap/>
            <w:vAlign w:val="bottom"/>
            <w:hideMark/>
          </w:tcPr>
          <w:p w14:paraId="524686E5" w14:textId="77777777" w:rsidR="00095768" w:rsidRPr="00095768" w:rsidRDefault="00095768" w:rsidP="00095768">
            <w:pPr>
              <w:spacing w:after="0"/>
              <w:jc w:val="center"/>
              <w:rPr>
                <w:rFonts w:ascii="Calibri" w:eastAsia="Times New Roman" w:hAnsi="Calibri" w:cs="Calibri"/>
                <w:sz w:val="20"/>
                <w:szCs w:val="20"/>
                <w:lang w:val="fr-FR" w:eastAsia="fr-FR"/>
              </w:rPr>
            </w:pPr>
            <w:r w:rsidRPr="00095768">
              <w:rPr>
                <w:rFonts w:ascii="Calibri" w:eastAsia="Times New Roman" w:hAnsi="Calibri" w:cs="Calibri"/>
                <w:sz w:val="20"/>
                <w:szCs w:val="20"/>
                <w:lang w:val="fr-FR" w:eastAsia="fr-FR"/>
              </w:rPr>
              <w:t>28.57</w:t>
            </w:r>
          </w:p>
        </w:tc>
      </w:tr>
    </w:tbl>
    <w:p w14:paraId="0EC47255" w14:textId="77777777" w:rsidR="00095768" w:rsidRPr="00311AB2" w:rsidRDefault="00095768" w:rsidP="00311AB2">
      <w:pPr>
        <w:pStyle w:val="BodyText"/>
      </w:pPr>
    </w:p>
    <w:sectPr w:rsidR="00095768" w:rsidRPr="00311AB2" w:rsidSect="0046372A">
      <w:pgSz w:w="12240" w:h="15840"/>
      <w:pgMar w:top="1417" w:right="1417" w:bottom="1417" w:left="141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B365" w14:textId="77777777" w:rsidR="00E043A5" w:rsidRDefault="00E043A5">
      <w:pPr>
        <w:spacing w:after="0"/>
      </w:pPr>
      <w:r>
        <w:separator/>
      </w:r>
    </w:p>
  </w:endnote>
  <w:endnote w:type="continuationSeparator" w:id="0">
    <w:p w14:paraId="0E8C9F5A" w14:textId="77777777" w:rsidR="00E043A5" w:rsidRDefault="00E043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8B39" w14:textId="77777777" w:rsidR="00E043A5" w:rsidRDefault="00E043A5">
      <w:r>
        <w:separator/>
      </w:r>
    </w:p>
  </w:footnote>
  <w:footnote w:type="continuationSeparator" w:id="0">
    <w:p w14:paraId="6AE769DE" w14:textId="77777777" w:rsidR="00E043A5" w:rsidRDefault="00E043A5">
      <w:r>
        <w:continuationSeparator/>
      </w:r>
    </w:p>
  </w:footnote>
  <w:footnote w:id="1">
    <w:p w14:paraId="6705D663" w14:textId="77777777" w:rsidR="001E7B45" w:rsidRPr="00D65085" w:rsidRDefault="000109F5" w:rsidP="00D65085">
      <w:pPr>
        <w:pStyle w:val="FootnoteText"/>
        <w:rPr>
          <w:sz w:val="18"/>
          <w:szCs w:val="18"/>
        </w:rPr>
      </w:pPr>
      <w:r w:rsidRPr="00D65085">
        <w:rPr>
          <w:rStyle w:val="FootnoteReference"/>
          <w:sz w:val="18"/>
          <w:szCs w:val="18"/>
        </w:rPr>
        <w:footnoteRef/>
      </w:r>
      <w:r w:rsidRPr="00D65085">
        <w:rPr>
          <w:sz w:val="18"/>
          <w:szCs w:val="18"/>
        </w:rPr>
        <w:t xml:space="preserve"> We sincerely thank Barbara Harriss-White, Judith Heyer and Jean-Michel Servet for their very helpful comments on an earlier draft.</w:t>
      </w:r>
    </w:p>
  </w:footnote>
  <w:footnote w:id="2">
    <w:p w14:paraId="65FE77EB" w14:textId="77777777" w:rsidR="001E7B45" w:rsidRPr="00D65085" w:rsidRDefault="000109F5" w:rsidP="00D65085">
      <w:pPr>
        <w:pStyle w:val="FootnoteText"/>
        <w:rPr>
          <w:sz w:val="18"/>
          <w:szCs w:val="18"/>
        </w:rPr>
      </w:pPr>
      <w:r w:rsidRPr="00D65085">
        <w:rPr>
          <w:rStyle w:val="FootnoteReference"/>
          <w:sz w:val="18"/>
          <w:szCs w:val="18"/>
        </w:rPr>
        <w:footnoteRef/>
      </w:r>
      <w:r w:rsidRPr="00D65085">
        <w:rPr>
          <w:sz w:val="18"/>
          <w:szCs w:val="18"/>
        </w:rPr>
        <w:t xml:space="preserve"> French National Research Institute for Sustainable Development (IRD), CESSMA (Université Paris Diderot, INALCO, IRD), French Institute of Pondicherry (IFP) - </w:t>
      </w:r>
      <w:hyperlink r:id="rId1">
        <w:r w:rsidRPr="00D65085">
          <w:rPr>
            <w:rStyle w:val="VerbatimChar"/>
            <w:sz w:val="18"/>
            <w:szCs w:val="18"/>
          </w:rPr>
          <w:t>isabelle.guerin@ird.fr</w:t>
        </w:r>
      </w:hyperlink>
      <w:r w:rsidRPr="00D65085">
        <w:rPr>
          <w:sz w:val="18"/>
          <w:szCs w:val="18"/>
        </w:rPr>
        <w:t>.</w:t>
      </w:r>
    </w:p>
  </w:footnote>
  <w:footnote w:id="3">
    <w:p w14:paraId="6E4B580C" w14:textId="77777777" w:rsidR="001E7B45" w:rsidRPr="00D65085" w:rsidRDefault="000109F5" w:rsidP="00D65085">
      <w:pPr>
        <w:pStyle w:val="FootnoteText"/>
        <w:rPr>
          <w:sz w:val="18"/>
          <w:szCs w:val="18"/>
        </w:rPr>
      </w:pPr>
      <w:r w:rsidRPr="00D65085">
        <w:rPr>
          <w:rStyle w:val="FootnoteReference"/>
          <w:sz w:val="18"/>
          <w:szCs w:val="18"/>
        </w:rPr>
        <w:footnoteRef/>
      </w:r>
      <w:r w:rsidRPr="00D65085">
        <w:rPr>
          <w:sz w:val="18"/>
          <w:szCs w:val="18"/>
        </w:rPr>
        <w:t xml:space="preserve"> CNRS-CREST, French Institute of Pondicherry (IFP).</w:t>
      </w:r>
    </w:p>
  </w:footnote>
  <w:footnote w:id="4">
    <w:p w14:paraId="5B7DB0DB" w14:textId="77777777" w:rsidR="001E7B45" w:rsidRPr="00D65085" w:rsidRDefault="000109F5" w:rsidP="00D65085">
      <w:pPr>
        <w:pStyle w:val="FootnoteText"/>
        <w:rPr>
          <w:sz w:val="18"/>
          <w:szCs w:val="18"/>
          <w:lang w:val="fr-FR"/>
        </w:rPr>
      </w:pPr>
      <w:r w:rsidRPr="00D65085">
        <w:rPr>
          <w:rStyle w:val="FootnoteReference"/>
          <w:sz w:val="18"/>
          <w:szCs w:val="18"/>
        </w:rPr>
        <w:footnoteRef/>
      </w:r>
      <w:r w:rsidRPr="00D65085">
        <w:rPr>
          <w:sz w:val="18"/>
          <w:szCs w:val="18"/>
          <w:lang w:val="fr-FR"/>
        </w:rPr>
        <w:t xml:space="preserve"> Univ. Bordeaux, CNRS, </w:t>
      </w:r>
      <w:proofErr w:type="spellStart"/>
      <w:r w:rsidRPr="00D65085">
        <w:rPr>
          <w:sz w:val="18"/>
          <w:szCs w:val="18"/>
          <w:lang w:val="fr-FR"/>
        </w:rPr>
        <w:t>GREThA</w:t>
      </w:r>
      <w:proofErr w:type="spellEnd"/>
      <w:r w:rsidRPr="00D65085">
        <w:rPr>
          <w:sz w:val="18"/>
          <w:szCs w:val="18"/>
          <w:lang w:val="fr-FR"/>
        </w:rPr>
        <w:t xml:space="preserve">, UMR 5113, F-33600 Pessac, France – </w:t>
      </w:r>
      <w:hyperlink r:id="rId2">
        <w:r w:rsidRPr="00D65085">
          <w:rPr>
            <w:rStyle w:val="VerbatimChar"/>
            <w:sz w:val="18"/>
            <w:szCs w:val="18"/>
            <w:lang w:val="fr-FR"/>
          </w:rPr>
          <w:t>arnaud.natal@u-bordeaux.fr</w:t>
        </w:r>
      </w:hyperlink>
      <w:r w:rsidRPr="00D65085">
        <w:rPr>
          <w:sz w:val="18"/>
          <w:szCs w:val="18"/>
          <w:lang w:val="fr-FR"/>
        </w:rPr>
        <w:t>.</w:t>
      </w:r>
    </w:p>
  </w:footnote>
  <w:footnote w:id="5">
    <w:p w14:paraId="7FF69BFE" w14:textId="77777777" w:rsidR="001E7B45" w:rsidRPr="00D65085" w:rsidRDefault="000109F5" w:rsidP="00D65085">
      <w:pPr>
        <w:pStyle w:val="FootnoteText"/>
        <w:rPr>
          <w:sz w:val="18"/>
          <w:szCs w:val="18"/>
        </w:rPr>
      </w:pPr>
      <w:r w:rsidRPr="00D65085">
        <w:rPr>
          <w:rStyle w:val="FootnoteReference"/>
          <w:sz w:val="18"/>
          <w:szCs w:val="18"/>
        </w:rPr>
        <w:footnoteRef/>
      </w:r>
      <w:r w:rsidRPr="00D65085">
        <w:rPr>
          <w:sz w:val="18"/>
          <w:szCs w:val="18"/>
        </w:rPr>
        <w:t xml:space="preserve"> French National Research Institute for Sustainable Development (IRD), LEDa-DIAL (Université Paris-Dauphine, IRD, CNRS, PSL), French Institute of Pondicherry (IFP) - </w:t>
      </w:r>
      <w:hyperlink r:id="rId3">
        <w:r w:rsidRPr="00D65085">
          <w:rPr>
            <w:rStyle w:val="VerbatimChar"/>
            <w:sz w:val="18"/>
            <w:szCs w:val="18"/>
          </w:rPr>
          <w:t>nordman@dial.prd</w:t>
        </w:r>
      </w:hyperlink>
      <w:r w:rsidRPr="00D65085">
        <w:rPr>
          <w:sz w:val="18"/>
          <w:szCs w:val="18"/>
        </w:rPr>
        <w:t>.</w:t>
      </w:r>
    </w:p>
  </w:footnote>
  <w:footnote w:id="6">
    <w:p w14:paraId="32CB68B1" w14:textId="77777777" w:rsidR="001E7B45" w:rsidRPr="00D65085" w:rsidRDefault="000109F5" w:rsidP="00D65085">
      <w:pPr>
        <w:pStyle w:val="FootnoteText"/>
        <w:rPr>
          <w:sz w:val="22"/>
          <w:szCs w:val="22"/>
        </w:rPr>
      </w:pPr>
      <w:r w:rsidRPr="00D65085">
        <w:rPr>
          <w:rStyle w:val="FootnoteReference"/>
          <w:sz w:val="18"/>
          <w:szCs w:val="18"/>
        </w:rPr>
        <w:footnoteRef/>
      </w:r>
      <w:r w:rsidRPr="00D65085">
        <w:rPr>
          <w:sz w:val="18"/>
          <w:szCs w:val="18"/>
        </w:rPr>
        <w:t xml:space="preserve"> French Institute of Pondicherry (IFP).</w:t>
      </w:r>
    </w:p>
  </w:footnote>
  <w:footnote w:id="7">
    <w:p w14:paraId="407C2D3C" w14:textId="77777777" w:rsidR="001E7B45" w:rsidRPr="00D65085" w:rsidRDefault="000109F5">
      <w:pPr>
        <w:pStyle w:val="FootnoteText"/>
        <w:rPr>
          <w:sz w:val="18"/>
          <w:szCs w:val="18"/>
        </w:rPr>
      </w:pPr>
      <w:r w:rsidRPr="00D65085">
        <w:rPr>
          <w:rStyle w:val="FootnoteReference"/>
          <w:sz w:val="18"/>
          <w:szCs w:val="18"/>
        </w:rPr>
        <w:footnoteRef/>
      </w:r>
      <w:r w:rsidRPr="00D65085">
        <w:rPr>
          <w:sz w:val="18"/>
          <w:szCs w:val="18"/>
        </w:rPr>
        <w:t xml:space="preserve"> The World Food Programme plans that acute hunger could double by the end of 2020 and </w:t>
      </w:r>
      <w:proofErr w:type="gramStart"/>
      <w:r w:rsidRPr="00D65085">
        <w:rPr>
          <w:sz w:val="18"/>
          <w:szCs w:val="18"/>
        </w:rPr>
        <w:t>that 130 million lives and livelihoods</w:t>
      </w:r>
      <w:proofErr w:type="gramEnd"/>
      <w:r w:rsidRPr="00D65085">
        <w:rPr>
          <w:sz w:val="18"/>
          <w:szCs w:val="18"/>
        </w:rPr>
        <w:t xml:space="preserve"> will be at risk.</w:t>
      </w:r>
    </w:p>
  </w:footnote>
  <w:footnote w:id="8">
    <w:p w14:paraId="76E035F4" w14:textId="77777777" w:rsidR="001E7B45" w:rsidRPr="00D65085" w:rsidRDefault="000109F5">
      <w:pPr>
        <w:pStyle w:val="FootnoteText"/>
        <w:rPr>
          <w:sz w:val="18"/>
          <w:szCs w:val="18"/>
        </w:rPr>
      </w:pPr>
      <w:r w:rsidRPr="00D65085">
        <w:rPr>
          <w:rStyle w:val="FootnoteReference"/>
          <w:sz w:val="18"/>
          <w:szCs w:val="18"/>
        </w:rPr>
        <w:footnoteRef/>
      </w:r>
      <w:r w:rsidRPr="00D65085">
        <w:rPr>
          <w:sz w:val="18"/>
          <w:szCs w:val="18"/>
        </w:rPr>
        <w:t xml:space="preserve"> In mid-May, the states of Uttar Pradesh and Madhya Pradesh have introduced drastic proposals to deregulate labour laws in order to boost economic recovery after the lockdown: see </w:t>
      </w:r>
      <w:hyperlink r:id="rId4">
        <w:r w:rsidRPr="00D65085">
          <w:rPr>
            <w:rStyle w:val="Hyperlink"/>
            <w:sz w:val="18"/>
            <w:szCs w:val="18"/>
          </w:rPr>
          <w:t>https://thewire.in/labour/labour-law-reform-worker-protection</w:t>
        </w:r>
      </w:hyperlink>
      <w:r w:rsidRPr="00D65085">
        <w:rPr>
          <w:sz w:val="18"/>
          <w:szCs w:val="18"/>
        </w:rPr>
        <w:t xml:space="preserve"> (accessed on 29.05.20).</w:t>
      </w:r>
    </w:p>
  </w:footnote>
  <w:footnote w:id="9">
    <w:p w14:paraId="1282C5B5" w14:textId="77777777" w:rsidR="001E7B45" w:rsidRPr="00D65085" w:rsidRDefault="000109F5">
      <w:pPr>
        <w:pStyle w:val="FootnoteText"/>
        <w:rPr>
          <w:sz w:val="18"/>
          <w:szCs w:val="18"/>
        </w:rPr>
      </w:pPr>
      <w:r w:rsidRPr="00D65085">
        <w:rPr>
          <w:rStyle w:val="FootnoteReference"/>
          <w:sz w:val="18"/>
          <w:szCs w:val="18"/>
        </w:rPr>
        <w:footnoteRef/>
      </w:r>
      <w:r w:rsidRPr="00D65085">
        <w:rPr>
          <w:sz w:val="18"/>
          <w:szCs w:val="18"/>
        </w:rPr>
        <w:t xml:space="preserve"> A study carried out immediately after the lockdown among about 3,200 construction workers (the largest employment sector, with about 55 million workers all over India) displays a “dismal” picture of negligence and apathy (Jan Sahas 2020, i): 42 percent of the workers mentioned that they had no ration left even for the day, 66 percent considered they will not be able to manage beyond a week and 22 percent of households mentioned they could manage for a month. 33 percent were still stuck in destination cities with little or no access to food, water and money. See also (Bercegol et al. 2020).</w:t>
      </w:r>
    </w:p>
  </w:footnote>
  <w:footnote w:id="10">
    <w:p w14:paraId="3DE7722B" w14:textId="77777777" w:rsidR="001E7B45" w:rsidRPr="00D65085" w:rsidRDefault="000109F5">
      <w:pPr>
        <w:pStyle w:val="FootnoteText"/>
        <w:rPr>
          <w:sz w:val="18"/>
          <w:szCs w:val="18"/>
        </w:rPr>
      </w:pPr>
      <w:r w:rsidRPr="00D65085">
        <w:rPr>
          <w:rStyle w:val="FootnoteReference"/>
          <w:sz w:val="18"/>
          <w:szCs w:val="18"/>
        </w:rPr>
        <w:footnoteRef/>
      </w:r>
      <w:r w:rsidRPr="00D65085">
        <w:rPr>
          <w:sz w:val="18"/>
          <w:szCs w:val="18"/>
        </w:rPr>
        <w:t xml:space="preserve"> The Networks, Employment, dEbt, Mobilities and Skills in India Survey (NEEMSIS) has been implemented in 2016-2017 by the authors of this paper. NEEMSIS follows a first household survey wave conducted in 2010 (RUME), thus constituting a panel of households and individuals. The first wave (RUME) was conducted among 405 households spread out in ten villages located in coastal/central Tamil Nadu in the Cuddalore and Villupuram districts. The villages were first selected following agro-ecological considerations (dry and wet villages) and the household sampling frame was made randomly using a caste stratification of the village populations obtained from the village Panchayats. For further details, see the survey dedicated website </w:t>
      </w:r>
      <w:hyperlink r:id="rId5">
        <w:r w:rsidRPr="00D65085">
          <w:rPr>
            <w:rStyle w:val="Hyperlink"/>
            <w:sz w:val="18"/>
            <w:szCs w:val="18"/>
          </w:rPr>
          <w:t>https://neemsis.hypotheses.org/</w:t>
        </w:r>
      </w:hyperlink>
      <w:r w:rsidRPr="00D65085">
        <w:rPr>
          <w:sz w:val="18"/>
          <w:szCs w:val="18"/>
        </w:rPr>
        <w:t xml:space="preserve"> and the NEEMSIS survey manual and statistical report (Nordman et al. 2017, 2019).</w:t>
      </w:r>
    </w:p>
  </w:footnote>
  <w:footnote w:id="11">
    <w:p w14:paraId="7313A50C" w14:textId="77777777" w:rsidR="001E7B45" w:rsidRDefault="000109F5">
      <w:pPr>
        <w:pStyle w:val="FootnoteText"/>
      </w:pPr>
      <w:r w:rsidRPr="00D65085">
        <w:rPr>
          <w:rStyle w:val="FootnoteReference"/>
          <w:sz w:val="18"/>
          <w:szCs w:val="18"/>
        </w:rPr>
        <w:footnoteRef/>
      </w:r>
      <w:r w:rsidRPr="00D65085">
        <w:rPr>
          <w:sz w:val="18"/>
          <w:szCs w:val="18"/>
        </w:rPr>
        <w:t xml:space="preserve"> To compare monetary values accross time, we deflate the values of 2016 on the basis of Consumer Price Index of World Bank in order to obtain values in base 2010 (</w:t>
      </w:r>
      <w:hyperlink r:id="rId6">
        <w:r w:rsidRPr="00D65085">
          <w:rPr>
            <w:rStyle w:val="Hyperlink"/>
            <w:sz w:val="18"/>
            <w:szCs w:val="18"/>
          </w:rPr>
          <w:t>https://data.worldbank.org/indicator/FP.CPI.TOTL?locations=IN</w:t>
        </w:r>
      </w:hyperlink>
      <w:r w:rsidRPr="00D65085">
        <w:rPr>
          <w:sz w:val="18"/>
          <w:szCs w:val="18"/>
        </w:rPr>
        <w:t>).</w:t>
      </w:r>
    </w:p>
  </w:footnote>
  <w:footnote w:id="12">
    <w:p w14:paraId="53AFBDDC" w14:textId="77777777" w:rsidR="001E7B45" w:rsidRPr="004607F4" w:rsidRDefault="000109F5">
      <w:pPr>
        <w:pStyle w:val="FootnoteText"/>
        <w:rPr>
          <w:sz w:val="18"/>
          <w:szCs w:val="18"/>
        </w:rPr>
      </w:pPr>
      <w:r w:rsidRPr="004607F4">
        <w:rPr>
          <w:rStyle w:val="FootnoteReference"/>
          <w:sz w:val="18"/>
          <w:szCs w:val="18"/>
        </w:rPr>
        <w:footnoteRef/>
      </w:r>
      <w:r w:rsidRPr="004607F4">
        <w:rPr>
          <w:sz w:val="18"/>
          <w:szCs w:val="18"/>
        </w:rPr>
        <w:t xml:space="preserve"> There are also a few Padayachis, Gramanis, Navithars, Nattars, Kulalars and Asarai, who have a similar position in the caste hierarchy.</w:t>
      </w:r>
    </w:p>
  </w:footnote>
  <w:footnote w:id="13">
    <w:p w14:paraId="18138E8B" w14:textId="77777777" w:rsidR="001E7B45" w:rsidRDefault="000109F5">
      <w:pPr>
        <w:pStyle w:val="FootnoteText"/>
      </w:pPr>
      <w:r w:rsidRPr="004607F4">
        <w:rPr>
          <w:rStyle w:val="FootnoteReference"/>
          <w:sz w:val="18"/>
          <w:szCs w:val="18"/>
        </w:rPr>
        <w:footnoteRef/>
      </w:r>
      <w:r w:rsidRPr="004607F4">
        <w:rPr>
          <w:sz w:val="18"/>
          <w:szCs w:val="18"/>
        </w:rPr>
        <w:t xml:space="preserve"> For converging findings on other parts of Tamil Nadu, see (Heyer 2012; Harriss and Jeyaranjan 2016).</w:t>
      </w:r>
    </w:p>
  </w:footnote>
  <w:footnote w:id="14">
    <w:p w14:paraId="41503A5F" w14:textId="77777777" w:rsidR="001E7B45" w:rsidRPr="004607F4" w:rsidRDefault="000109F5">
      <w:pPr>
        <w:pStyle w:val="FootnoteText"/>
        <w:rPr>
          <w:sz w:val="18"/>
          <w:szCs w:val="18"/>
        </w:rPr>
      </w:pPr>
      <w:r w:rsidRPr="004607F4">
        <w:rPr>
          <w:rStyle w:val="FootnoteReference"/>
          <w:sz w:val="18"/>
          <w:szCs w:val="18"/>
        </w:rPr>
        <w:footnoteRef/>
      </w:r>
      <w:r w:rsidRPr="004607F4">
        <w:rPr>
          <w:sz w:val="18"/>
          <w:szCs w:val="18"/>
        </w:rPr>
        <w:t xml:space="preserve"> The NREGA is a public employment programme for rural families, in force since 2006. Officially, it provides for 100 days of work at the minimum wage.</w:t>
      </w:r>
    </w:p>
  </w:footnote>
  <w:footnote w:id="15">
    <w:p w14:paraId="3DDC1A1D" w14:textId="77777777" w:rsidR="001E7B45" w:rsidRDefault="000109F5">
      <w:pPr>
        <w:pStyle w:val="FootnoteText"/>
      </w:pPr>
      <w:r w:rsidRPr="00417FDB">
        <w:rPr>
          <w:rStyle w:val="FootnoteReference"/>
          <w:sz w:val="18"/>
          <w:szCs w:val="18"/>
        </w:rPr>
        <w:footnoteRef/>
      </w:r>
      <w:r w:rsidRPr="00417FDB">
        <w:rPr>
          <w:sz w:val="18"/>
          <w:szCs w:val="18"/>
        </w:rPr>
        <w:t xml:space="preserve"> </w:t>
      </w:r>
      <w:hyperlink r:id="rId7">
        <w:r w:rsidRPr="00417FDB">
          <w:rPr>
            <w:rStyle w:val="Hyperlink"/>
            <w:sz w:val="18"/>
            <w:szCs w:val="18"/>
          </w:rPr>
          <w:t>https://www.ndtv.com/opinion/cash-chorus-is-flawed-use-odisha-model-instead-2209561</w:t>
        </w:r>
      </w:hyperlink>
      <w:r w:rsidRPr="00417FDB">
        <w:rPr>
          <w:sz w:val="18"/>
          <w:szCs w:val="18"/>
        </w:rPr>
        <w:t xml:space="preserve">; </w:t>
      </w:r>
      <w:hyperlink r:id="rId8">
        <w:r w:rsidRPr="00417FDB">
          <w:rPr>
            <w:rStyle w:val="Hyperlink"/>
            <w:sz w:val="18"/>
            <w:szCs w:val="18"/>
          </w:rPr>
          <w:t>https://www.hindustantimes.com/india-news/covid-19-rural-women-in-india-bear-the-brunt-of-the-lockdown/story-gpWttWeBmJlUPwCZg43dHJ.html</w:t>
        </w:r>
      </w:hyperlink>
      <w:r w:rsidRPr="00417FDB">
        <w:rPr>
          <w:sz w:val="18"/>
          <w:szCs w:val="18"/>
        </w:rPr>
        <w:t xml:space="preserve">; </w:t>
      </w:r>
      <w:hyperlink r:id="rId9">
        <w:r w:rsidRPr="00417FDB">
          <w:rPr>
            <w:rStyle w:val="Hyperlink"/>
            <w:sz w:val="18"/>
            <w:szCs w:val="18"/>
          </w:rPr>
          <w:t>https://www.thehindu.com/opinion/lead/getting-cash-transfers-out-of-a-jam/article31568674.ece</w:t>
        </w:r>
      </w:hyperlink>
    </w:p>
  </w:footnote>
  <w:footnote w:id="16">
    <w:p w14:paraId="3FE2AEF0" w14:textId="77777777" w:rsidR="001E7B45" w:rsidRPr="00417FDB" w:rsidRDefault="000109F5">
      <w:pPr>
        <w:pStyle w:val="FootnoteText"/>
        <w:rPr>
          <w:sz w:val="18"/>
          <w:szCs w:val="18"/>
        </w:rPr>
      </w:pPr>
      <w:r w:rsidRPr="00417FDB">
        <w:rPr>
          <w:rStyle w:val="FootnoteReference"/>
          <w:sz w:val="18"/>
          <w:szCs w:val="18"/>
        </w:rPr>
        <w:footnoteRef/>
      </w:r>
      <w:r w:rsidRPr="00417FDB">
        <w:rPr>
          <w:sz w:val="18"/>
          <w:szCs w:val="18"/>
        </w:rPr>
        <w:t xml:space="preserve"> Arvind Subramanian, former Chief Economic Advisor to the Government of India (2014–2018), considers that between 2011 and 2017, the annual GDP growth would be 4.5 percent and not 7 percent (Subramanian 2019).</w:t>
      </w:r>
    </w:p>
  </w:footnote>
  <w:footnote w:id="17">
    <w:p w14:paraId="765E164F" w14:textId="77777777" w:rsidR="001E7B45" w:rsidRPr="00417FDB" w:rsidRDefault="000109F5">
      <w:pPr>
        <w:pStyle w:val="FootnoteText"/>
        <w:rPr>
          <w:sz w:val="18"/>
          <w:szCs w:val="18"/>
        </w:rPr>
      </w:pPr>
      <w:r w:rsidRPr="00417FDB">
        <w:rPr>
          <w:rStyle w:val="FootnoteReference"/>
          <w:sz w:val="18"/>
          <w:szCs w:val="18"/>
        </w:rPr>
        <w:footnoteRef/>
      </w:r>
      <w:r w:rsidRPr="00417FDB">
        <w:rPr>
          <w:sz w:val="18"/>
          <w:szCs w:val="18"/>
        </w:rPr>
        <w:t xml:space="preserve"> SHGs were India’s first microcredit model. SHGs are groups of 15 to 20 people, mainly women, who first circulate money among themselves and are then eligible for external credit, provided by an NGO, a microcredit institution or a bank. In the region studied here, with the advent of for-profit microcredit companies, SHGs have all but disappeared. However, joint liability groups are still the main collateral.</w:t>
      </w:r>
    </w:p>
  </w:footnote>
  <w:footnote w:id="18">
    <w:p w14:paraId="128ACED6" w14:textId="77777777" w:rsidR="001E7B45" w:rsidRPr="00417FDB" w:rsidRDefault="000109F5">
      <w:pPr>
        <w:pStyle w:val="FootnoteText"/>
        <w:rPr>
          <w:sz w:val="18"/>
          <w:szCs w:val="18"/>
        </w:rPr>
      </w:pPr>
      <w:r w:rsidRPr="00417FDB">
        <w:rPr>
          <w:rStyle w:val="FootnoteReference"/>
          <w:sz w:val="18"/>
          <w:szCs w:val="18"/>
        </w:rPr>
        <w:footnoteRef/>
      </w:r>
      <w:r w:rsidRPr="00417FDB">
        <w:rPr>
          <w:sz w:val="18"/>
          <w:szCs w:val="18"/>
        </w:rPr>
        <w:t xml:space="preserve"> See for instance (Morvant-Roux 2013; Collins et al. 2009; Shipton 2007; James 2015; Saiag 2020; Guérin, Morvant-Roux, and Villareal 2013).</w:t>
      </w:r>
    </w:p>
  </w:footnote>
  <w:footnote w:id="19">
    <w:p w14:paraId="722D9E36" w14:textId="77777777" w:rsidR="001E7B45" w:rsidRDefault="000109F5">
      <w:pPr>
        <w:pStyle w:val="FootnoteText"/>
      </w:pPr>
      <w:r w:rsidRPr="00417FDB">
        <w:rPr>
          <w:rStyle w:val="FootnoteReference"/>
          <w:sz w:val="18"/>
          <w:szCs w:val="18"/>
        </w:rPr>
        <w:footnoteRef/>
      </w:r>
      <w:r w:rsidRPr="00417FDB">
        <w:rPr>
          <w:sz w:val="18"/>
          <w:szCs w:val="18"/>
        </w:rPr>
        <w:t xml:space="preserve"> Historically, Dalits depended on their landlords for access to credit, which was repaid in the form of labour. As elsewhere, these old and agrestic forms of bonded labour have all but disappeared, replaced by neo-bondage, which is limited in time and based on seasonal migration as discussed above (Breman 1974). Jan Breman’s pioneering observations are also valid here.</w:t>
      </w:r>
    </w:p>
  </w:footnote>
  <w:footnote w:id="20">
    <w:p w14:paraId="5B1B7FD7" w14:textId="77777777" w:rsidR="001E7B45" w:rsidRPr="00417FDB" w:rsidRDefault="000109F5">
      <w:pPr>
        <w:pStyle w:val="FootnoteText"/>
        <w:rPr>
          <w:sz w:val="18"/>
          <w:szCs w:val="18"/>
        </w:rPr>
      </w:pPr>
      <w:r w:rsidRPr="00417FDB">
        <w:rPr>
          <w:rStyle w:val="FootnoteReference"/>
          <w:sz w:val="18"/>
          <w:szCs w:val="18"/>
        </w:rPr>
        <w:footnoteRef/>
      </w:r>
      <w:r w:rsidRPr="00417FDB">
        <w:rPr>
          <w:sz w:val="18"/>
          <w:szCs w:val="18"/>
        </w:rPr>
        <w:t xml:space="preserve"> We shall note the existence of internal Dalit hierarchies, the term being a political category that in fact includes many </w:t>
      </w:r>
      <w:r w:rsidRPr="00417FDB">
        <w:rPr>
          <w:i/>
          <w:iCs/>
          <w:sz w:val="18"/>
          <w:szCs w:val="18"/>
        </w:rPr>
        <w:t>jatis</w:t>
      </w:r>
      <w:r w:rsidRPr="00417FDB">
        <w:rPr>
          <w:sz w:val="18"/>
          <w:szCs w:val="18"/>
        </w:rPr>
        <w:t xml:space="preserve"> (castes).</w:t>
      </w:r>
    </w:p>
  </w:footnote>
  <w:footnote w:id="21">
    <w:p w14:paraId="49044F9E" w14:textId="77777777" w:rsidR="001E7B45" w:rsidRPr="00417FDB" w:rsidRDefault="000109F5">
      <w:pPr>
        <w:pStyle w:val="FootnoteText"/>
        <w:rPr>
          <w:sz w:val="18"/>
          <w:szCs w:val="18"/>
        </w:rPr>
      </w:pPr>
      <w:r w:rsidRPr="00417FDB">
        <w:rPr>
          <w:rStyle w:val="FootnoteReference"/>
          <w:sz w:val="18"/>
          <w:szCs w:val="18"/>
        </w:rPr>
        <w:footnoteRef/>
      </w:r>
      <w:r w:rsidRPr="00417FDB">
        <w:rPr>
          <w:sz w:val="18"/>
          <w:szCs w:val="18"/>
        </w:rPr>
        <w:t xml:space="preserve"> </w:t>
      </w:r>
      <w:hyperlink r:id="rId10">
        <w:r w:rsidRPr="00417FDB">
          <w:rPr>
            <w:rStyle w:val="Hyperlink"/>
            <w:sz w:val="18"/>
            <w:szCs w:val="18"/>
          </w:rPr>
          <w:t>https://www.thehindu.com/news/cities/Madurai/collector-warns-against-violation-of-rbi-norms-on-loan-moratorium/article31664789.ece/amp/</w:t>
        </w:r>
      </w:hyperlink>
      <w:r w:rsidRPr="00417FDB">
        <w:rPr>
          <w:sz w:val="18"/>
          <w:szCs w:val="18"/>
        </w:rPr>
        <w:t xml:space="preserve">; </w:t>
      </w:r>
      <w:hyperlink r:id="rId11">
        <w:r w:rsidRPr="00417FDB">
          <w:rPr>
            <w:rStyle w:val="Hyperlink"/>
            <w:sz w:val="18"/>
            <w:szCs w:val="18"/>
          </w:rPr>
          <w:t>https://www.thehindu.com/news/national/tamil-nadu/private-finance-firms-putting-pressure-on-self-help-group-women-says-rajapalayam-mla/article31663098.ece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2C0F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7B45"/>
    <w:rsid w:val="000109F5"/>
    <w:rsid w:val="00095768"/>
    <w:rsid w:val="000F7AEB"/>
    <w:rsid w:val="001C7325"/>
    <w:rsid w:val="001E7B45"/>
    <w:rsid w:val="002E6EB0"/>
    <w:rsid w:val="00311AB2"/>
    <w:rsid w:val="00417FDB"/>
    <w:rsid w:val="004607F4"/>
    <w:rsid w:val="0046372A"/>
    <w:rsid w:val="00473A6F"/>
    <w:rsid w:val="004B0208"/>
    <w:rsid w:val="004D2F20"/>
    <w:rsid w:val="005943A0"/>
    <w:rsid w:val="005F3948"/>
    <w:rsid w:val="00611782"/>
    <w:rsid w:val="00732C5D"/>
    <w:rsid w:val="00775AE3"/>
    <w:rsid w:val="009D75B3"/>
    <w:rsid w:val="00CC7222"/>
    <w:rsid w:val="00D65085"/>
    <w:rsid w:val="00E043A5"/>
    <w:rsid w:val="00F5312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4DC84"/>
  <w15:docId w15:val="{98BAC980-E31F-486B-8CE9-7410B88D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52220">
      <w:bodyDiv w:val="1"/>
      <w:marLeft w:val="0"/>
      <w:marRight w:val="0"/>
      <w:marTop w:val="0"/>
      <w:marBottom w:val="0"/>
      <w:divBdr>
        <w:top w:val="none" w:sz="0" w:space="0" w:color="auto"/>
        <w:left w:val="none" w:sz="0" w:space="0" w:color="auto"/>
        <w:bottom w:val="none" w:sz="0" w:space="0" w:color="auto"/>
        <w:right w:val="none" w:sz="0" w:space="0" w:color="auto"/>
      </w:divBdr>
    </w:div>
    <w:div w:id="901215596">
      <w:bodyDiv w:val="1"/>
      <w:marLeft w:val="0"/>
      <w:marRight w:val="0"/>
      <w:marTop w:val="0"/>
      <w:marBottom w:val="0"/>
      <w:divBdr>
        <w:top w:val="none" w:sz="0" w:space="0" w:color="auto"/>
        <w:left w:val="none" w:sz="0" w:space="0" w:color="auto"/>
        <w:bottom w:val="none" w:sz="0" w:space="0" w:color="auto"/>
        <w:right w:val="none" w:sz="0" w:space="0" w:color="auto"/>
      </w:divBdr>
    </w:div>
    <w:div w:id="1765883109">
      <w:bodyDiv w:val="1"/>
      <w:marLeft w:val="0"/>
      <w:marRight w:val="0"/>
      <w:marTop w:val="0"/>
      <w:marBottom w:val="0"/>
      <w:divBdr>
        <w:top w:val="none" w:sz="0" w:space="0" w:color="auto"/>
        <w:left w:val="none" w:sz="0" w:space="0" w:color="auto"/>
        <w:bottom w:val="none" w:sz="0" w:space="0" w:color="auto"/>
        <w:right w:val="none" w:sz="0" w:space="0" w:color="auto"/>
      </w:divBdr>
    </w:div>
    <w:div w:id="17950522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doi.org/10.1080/17530350.2019.1583594" TargetMode="External"/><Relationship Id="rId39" Type="http://schemas.openxmlformats.org/officeDocument/2006/relationships/hyperlink" Target="https://doi.org/10.1017/s0001972014000485" TargetMode="External"/><Relationship Id="rId21" Type="http://schemas.openxmlformats.org/officeDocument/2006/relationships/hyperlink" Target="https://doi.org/10.1111/roiw.12439" TargetMode="External"/><Relationship Id="rId34" Type="http://schemas.openxmlformats.org/officeDocument/2006/relationships/hyperlink" Target="https://www.thejakartapost.com/news/2020/04/13/no-work-new-debt-virus-creates-perfect-storm-for-slavery-in-india.html" TargetMode="External"/><Relationship Id="rId42" Type="http://schemas.openxmlformats.org/officeDocument/2006/relationships/hyperlink" Target="https://doi.org/10.1080/00220389408422328" TargetMode="External"/><Relationship Id="rId47" Type="http://schemas.openxmlformats.org/officeDocument/2006/relationships/hyperlink" Target="http://www.ihdindia.org/mailer/webinar/IHDISLE-Webinar-Covid-19-its-Implications-Economy-Work-Livelihoods.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hewire.in/political-economy/the-modi-sarkars-project-for-indias-informal-economy" TargetMode="External"/><Relationship Id="rId11" Type="http://schemas.openxmlformats.org/officeDocument/2006/relationships/image" Target="media/image4.svg"/><Relationship Id="rId24" Type="http://schemas.openxmlformats.org/officeDocument/2006/relationships/hyperlink" Target="https://doi.org/10.1111/dpr.12272" TargetMode="External"/><Relationship Id="rId32" Type="http://schemas.openxmlformats.org/officeDocument/2006/relationships/hyperlink" Target="https://www.theindiaforum.in/article/how-many-casual-workers-cities-have-sought-go-home" TargetMode="External"/><Relationship Id="rId37" Type="http://schemas.openxmlformats.org/officeDocument/2006/relationships/hyperlink" Target="https://f.hypotheses.org/wp-content/blogs.dir/3627/files/2018/05/NEEMSIS_manual_final.pdf" TargetMode="External"/><Relationship Id="rId40" Type="http://schemas.openxmlformats.org/officeDocument/2006/relationships/hyperlink" Target="https://doi.org/10.1093/acrefore/9780190854584.013.80" TargetMode="External"/><Relationship Id="rId45" Type="http://schemas.openxmlformats.org/officeDocument/2006/relationships/hyperlink" Target="https://doi.org/10.3167/fcl.2020.012804"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doi.org/10.1017/s0026749x14000742" TargetMode="External"/><Relationship Id="rId28" Type="http://schemas.openxmlformats.org/officeDocument/2006/relationships/hyperlink" Target="https://doi.org/10.1093/acprof:oso/9780199461868.001.0001" TargetMode="External"/><Relationship Id="rId36" Type="http://schemas.openxmlformats.org/officeDocument/2006/relationships/hyperlink" Target="https://f.hypotheses.org/wp-content/blogs.dir/3627/files/2020/04/NEEMSIS-Survey-Report-2019_Statistical-Tables.pdf"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doi.org/10.1111/roiw.12101" TargetMode="External"/><Relationship Id="rId44" Type="http://schemas.openxmlformats.org/officeDocument/2006/relationships/hyperlink" Target="https://www.financialaccess.org/blog/2020/5/11/banking-on-human-capital-what-financial-institutions-need-to-do-now-to-enable-a-covid-19-recovery"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doi.org/10.1515/9781400829965" TargetMode="External"/><Relationship Id="rId27" Type="http://schemas.openxmlformats.org/officeDocument/2006/relationships/hyperlink" Target="https://doi.org/10.1111/joac.12024" TargetMode="External"/><Relationship Id="rId30" Type="http://schemas.openxmlformats.org/officeDocument/2006/relationships/hyperlink" Target="https://doi.org/10.15173/glj.v3i1.1114" TargetMode="External"/><Relationship Id="rId35" Type="http://schemas.openxmlformats.org/officeDocument/2006/relationships/hyperlink" Target="https://doi.org/10.1080/00220388.2017.1303668" TargetMode="External"/><Relationship Id="rId43" Type="http://schemas.openxmlformats.org/officeDocument/2006/relationships/hyperlink" Target="https://www.project-syndicate.org/commentary/covid19-lockdowns-threaten-famine-in-poor-countries-by-martin-ravallion-2020-04" TargetMode="External"/><Relationship Id="rId48" Type="http://schemas.openxmlformats.org/officeDocument/2006/relationships/hyperlink" Target="https://www.youtube.com/watch?v=CvlU-Yqf-EM&amp;ab_channel=TheWi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doi.org/10.1080/09502386.2015.1017144" TargetMode="External"/><Relationship Id="rId33" Type="http://schemas.openxmlformats.org/officeDocument/2006/relationships/hyperlink" Target="https://www.cprindia.org/news/8604" TargetMode="External"/><Relationship Id="rId38" Type="http://schemas.openxmlformats.org/officeDocument/2006/relationships/hyperlink" Target="https://doi.org/10.1146/annurev-anthro-090109-133856" TargetMode="External"/><Relationship Id="rId46" Type="http://schemas.openxmlformats.org/officeDocument/2006/relationships/hyperlink" Target="https://doi.org/10.1016/j.worlddev.2004.12.003" TargetMode="External"/><Relationship Id="rId20" Type="http://schemas.openxmlformats.org/officeDocument/2006/relationships/hyperlink" Target="https://doi.org/10.4000/echogeo.19289" TargetMode="External"/><Relationship Id="rId41" Type="http://schemas.openxmlformats.org/officeDocument/2006/relationships/hyperlink" Target="https://theconversation.com/en-inde-les-travailleurs-migrants-abandonnes-a-leur-sort-13585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hindustantimes.com/india-news/covid-19-rural-women-in-india-bear-the-brunt-of-the-lockdown/story-gpWttWeBmJlUPwCZg43dHJ.html" TargetMode="External"/><Relationship Id="rId3" Type="http://schemas.openxmlformats.org/officeDocument/2006/relationships/hyperlink" Target="mailto:nordman@dial.prd" TargetMode="External"/><Relationship Id="rId7" Type="http://schemas.openxmlformats.org/officeDocument/2006/relationships/hyperlink" Target="https://www.ndtv.com/opinion/cash-chorus-is-flawed-use-odisha-model-instead-2209561" TargetMode="External"/><Relationship Id="rId2" Type="http://schemas.openxmlformats.org/officeDocument/2006/relationships/hyperlink" Target="mailto:arnaud.natal@u-bordeaux.fr" TargetMode="External"/><Relationship Id="rId1" Type="http://schemas.openxmlformats.org/officeDocument/2006/relationships/hyperlink" Target="mailto:isabelle.guerin@ird.fr" TargetMode="External"/><Relationship Id="rId6" Type="http://schemas.openxmlformats.org/officeDocument/2006/relationships/hyperlink" Target="https://data.worldbank.org/indicator/FP.CPI.TOTL?locations=IN" TargetMode="External"/><Relationship Id="rId11" Type="http://schemas.openxmlformats.org/officeDocument/2006/relationships/hyperlink" Target="https://www.thehindu.com/news/national/tamil-nadu/private-finance-firms-putting-pressure-on-self-help-group-women-says-rajapalayam-mla/article31663098.ece" TargetMode="External"/><Relationship Id="rId5" Type="http://schemas.openxmlformats.org/officeDocument/2006/relationships/hyperlink" Target="https://neemsis.hypotheses.org/" TargetMode="External"/><Relationship Id="rId10" Type="http://schemas.openxmlformats.org/officeDocument/2006/relationships/hyperlink" Target="https://www.thehindu.com/news/cities/Madurai/collector-warns-against-violation-of-rbi-norms-on-loan-moratorium/article31664789.ece/amp/" TargetMode="External"/><Relationship Id="rId4" Type="http://schemas.openxmlformats.org/officeDocument/2006/relationships/hyperlink" Target="https://thewire.in/labour/labour-law-reform-worker-protection" TargetMode="External"/><Relationship Id="rId9" Type="http://schemas.openxmlformats.org/officeDocument/2006/relationships/hyperlink" Target="https://www.thehindu.com/opinion/lead/getting-cash-transfers-out-of-a-jam/article31568674.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9A975-031F-4350-B1D1-D8FD1B69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43</Pages>
  <Words>12942</Words>
  <Characters>71186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Surviving Debt, Survival Debt in Times of Lockdown</vt:lpstr>
    </vt:vector>
  </TitlesOfParts>
  <Company/>
  <LinksUpToDate>false</LinksUpToDate>
  <CharactersWithSpaces>83961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Surviving Debt, Survival Debt in Times of Lockdown</dc:title>
  <dc:creator>Isabelle Guérin,  Sébastien Michiels,  Arnaud Natal,  Christophe J. Nordman  and Govindan Venkatasubramanian</dc:creator>
  <cp:keywords/>
  <cp:lastModifiedBy>Arnaud</cp:lastModifiedBy>
  <cp:revision>20</cp:revision>
  <dcterms:created xsi:type="dcterms:W3CDTF">2021-07-27T14:42:00Z</dcterms:created>
  <dcterms:modified xsi:type="dcterms:W3CDTF">2021-07-27T20:19:00Z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