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cav4pvosr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Ficha Técnica de Especificación: Agente de Backtest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sek7mwszv6s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Identidad y Misión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Identificador del Agente: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trading_backtest_agent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Departamento:</w:t>
      </w:r>
      <w:r w:rsidDel="00000000" w:rsidR="00000000" w:rsidRPr="00000000">
        <w:rPr>
          <w:rtl w:val="0"/>
        </w:rPr>
        <w:t xml:space="preserve"> Trading (🟦)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Misión Concreta:</w:t>
      </w:r>
      <w:r w:rsidDel="00000000" w:rsidR="00000000" w:rsidRPr="00000000">
        <w:rPr>
          <w:rtl w:val="0"/>
        </w:rPr>
        <w:t xml:space="preserve"> Evaluar cuantitativamente estrategias de trading basadas en plantillas parametrizadas sobre series temporales históricas, delegando el cálculo matemático íntegramente a un motor determinista y generando un diagnóstico estructurado, cualitativo y accionable para el usuario.</w:t>
        <w:br w:type="textWrapping"/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opomrbgg58v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Modelo Operativo y Ciclo de Vida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Modo de Activación:</w:t>
      </w:r>
      <w:r w:rsidDel="00000000" w:rsidR="00000000" w:rsidRPr="00000000">
        <w:rPr>
          <w:rtl w:val="0"/>
        </w:rPr>
        <w:t xml:space="preserve"> Bajo demanda pura (Reactivo / Síncrono-Asíncrono según la ventana temporal y resolución de datos).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Disparador:</w:t>
      </w:r>
      <w:r w:rsidDel="00000000" w:rsidR="00000000" w:rsidRPr="00000000">
        <w:rPr>
          <w:rtl w:val="0"/>
        </w:rPr>
        <w:t xml:space="preserve"> Solicitud explícita del usuario desde el chat o formulario de configuración de la oficina de Trading.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de Interacción: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usuario selecciona y completa una plantilla preconfigurada de estrategia (o el sistema la valida y muestra para confirmación explícita previa a la ejecución).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agente valida la coherencia de los parámetros.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agente construye la carga de trabajo (payload) y la envía al motor determinista.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motor ejecuta la simulación histórica y devuelve métricas brutas y series temporales.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LLM interpreta los resultados, evalúa riesgos/debilidades estructurales y redacta el informe para el usuario.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Finaliza el ciclo: no invoca a otros agentes de forma autónoma.</w:t>
        <w:br w:type="textWrapping"/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35hay84bj2b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Entradas Requeridas (Inputs Estructurados)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procesa un esquema de entrada estricto: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Identificador de Plantilla de Estrategia:</w:t>
      </w:r>
      <w:r w:rsidDel="00000000" w:rsidR="00000000" w:rsidRPr="00000000">
        <w:rPr>
          <w:rtl w:val="0"/>
        </w:rPr>
        <w:t xml:space="preserve"> Tipo de lógica predefinida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trend_following_crossover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mean_reversion_rsi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breakout_donchian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bollinger_bands_squeeze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Parámetros Específicos de la Plantilla:</w:t>
      </w:r>
      <w:r w:rsidDel="00000000" w:rsidR="00000000" w:rsidRPr="00000000">
        <w:rPr>
          <w:rtl w:val="0"/>
        </w:rPr>
        <w:t xml:space="preserve"> Valores numéricos de los indicadores (ej. periodos de medias móviles, umbrales de sobrecompra/sobreventa, multiplicadores de volatilidad).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Parámetros del Instrumento: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Símbolo del activo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BTC/USDT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ETH/USDT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EUR/USD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SPY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Temporalidad / Timeframe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1d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Rango temporal de evaluación (Fecha inicio y Fecha fin en formato ISO 8601).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Condiciones de Simulación y Ejecución: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Capital inicial (ej. 10.000 USD).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Comisiones por operación (Maker/Taker fees expresadas en porcentaje o tarifa fija).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Deslizamiento estimado (Slippage en pips o porcentaje).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Reglas de ejecución: Posición máxima permitida, apalancamiento máximo, tipo de operativa (Long-only, Short-only, Long/Short).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Reglas de gestión de posición: Stop Loss (fijo/trailing en % o ATR) y Take Profit (fijo o por ratio riesgo/beneficio).</w:t>
        <w:br w:type="textWrapping"/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d0b06yw1tcm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Herramientas y Servicios Externos (Tools &amp; Engine Interfaces)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cumplimiento de la regla transversal (</w:t>
      </w:r>
      <w:r w:rsidDel="00000000" w:rsidR="00000000" w:rsidRPr="00000000">
        <w:rPr>
          <w:i w:val="1"/>
          <w:iCs w:val="1"/>
          <w:rtl w:val="0"/>
        </w:rPr>
        <w:t xml:space="preserve">cero cómputo crítico en el LLM</w:t>
      </w:r>
      <w:r w:rsidDel="00000000" w:rsidR="00000000" w:rsidRPr="00000000">
        <w:rPr>
          <w:rtl w:val="0"/>
        </w:rPr>
        <w:t xml:space="preserve">), el agente interactúa con dos interfaces deterministas: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 1 — Proveedor de Datos de Mercado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market_data_service</w:t>
      </w:r>
      <w:r w:rsidDel="00000000" w:rsidR="00000000" w:rsidRPr="00000000">
        <w:rPr>
          <w:b w:val="1"/>
          <w:bCs w:val="1"/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Descarga y valida la integridad de los datos históricos de velas (OHLCV) para el rango y activo solicitados, verificando que no existan huecos de datos (gaps) ni anomalías de formato.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 2 — Motor Determinista de Backtesting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backtest_engine</w:t>
      </w:r>
      <w:r w:rsidDel="00000000" w:rsidR="00000000" w:rsidRPr="00000000">
        <w:rPr>
          <w:b w:val="1"/>
          <w:bCs w:val="1"/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Motor computacional en backend (ej. wrapper de VectorBT, Backtrader o motor vectorizado propietario en Python).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Ejecuta la simulación matemática sin intervención heurística del LLM.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Devuelve una estructura de datos normalizada con la curva de capital y todas las métricas estadísticas calculadas.</w:t>
        <w:br w:type="textWrapping"/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4jdq97vb532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 Salidas Generadas (Outputs)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devuelve una respuesta compuesta por dos capas: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1: Payload Estructurado (para renderizado en UI y persistencia):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Métricas de Rendimiento:</w:t>
      </w:r>
      <w:r w:rsidDel="00000000" w:rsidR="00000000" w:rsidRPr="00000000">
        <w:rPr>
          <w:rtl w:val="0"/>
        </w:rPr>
        <w:t xml:space="preserve"> Retorno total (%), Retorno Anualizado (CAGR %), Buy &amp; Hold Return de referencia.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Métricas de Riesgo:</w:t>
      </w:r>
      <w:r w:rsidDel="00000000" w:rsidR="00000000" w:rsidRPr="00000000">
        <w:rPr>
          <w:rtl w:val="0"/>
        </w:rPr>
        <w:t xml:space="preserve"> Máximo Drawdown (MDD en % y duración temporal en días/horas), Ratio de Sharpe, Ratio de Sortino, Ratio de Calmar.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Estadísticas Operativas:</w:t>
      </w:r>
      <w:r w:rsidDel="00000000" w:rsidR="00000000" w:rsidRPr="00000000">
        <w:rPr>
          <w:rtl w:val="0"/>
        </w:rPr>
        <w:t xml:space="preserve"> Total de operaciones ejecutadas, Win Rate (%), Tasa de pérdida (%), Profit Factor, Ratio Ganancia Media / Pérdida Media, Racha máxima de pérdidas consecutivas, Tiempo medio de permanencia en posición.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Series Temporales:</w:t>
      </w:r>
      <w:r w:rsidDel="00000000" w:rsidR="00000000" w:rsidRPr="00000000">
        <w:rPr>
          <w:rtl w:val="0"/>
        </w:rPr>
        <w:t xml:space="preserve"> Curva de equidad (Equity curve) y serie histórica de drawdown para visualización gráfica.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Registro de Operaciones (Trade Log resumido):</w:t>
      </w:r>
      <w:r w:rsidDel="00000000" w:rsidR="00000000" w:rsidRPr="00000000">
        <w:rPr>
          <w:rtl w:val="0"/>
        </w:rPr>
        <w:t xml:space="preserve"> Tabla de entradas, salidas, precios ejecutados, fees pagadas y resultado individual en PnL y R-múltiplo.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 2: Informe Narrativo / Diagnóstico del LLM (para el usuario):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Veredicto Ejecutivo:</w:t>
      </w:r>
      <w:r w:rsidDel="00000000" w:rsidR="00000000" w:rsidRPr="00000000">
        <w:rPr>
          <w:rtl w:val="0"/>
        </w:rPr>
        <w:t xml:space="preserve"> Diagnóstico conciso sobre la viabilidad estadística inicial de la configuración probada.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Detección de Patologías y Riesgos:</w:t>
        <w:br w:type="textWrapping"/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Alertas de sobreajuste potencial (ej. rendimiento excesivamente concentrado en pocos trades atípicos).</w:t>
        <w:br w:type="textWrapping"/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Comportamiento en regímenes de mercado adversos (ej. cómo rinde en tendencias versus rangos laterales).</w:t>
        <w:br w:type="textWrapping"/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Análisis de fatiga de capital (si el drawdown supera los umbrales razonables de preservación de cuenta).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Observaciones accionables:</w:t>
      </w:r>
      <w:r w:rsidDel="00000000" w:rsidR="00000000" w:rsidRPr="00000000">
        <w:rPr>
          <w:rtl w:val="0"/>
        </w:rPr>
        <w:t xml:space="preserve"> Comentarios específicos sobre el impacto de las comisiones en temporalidades bajas o la sensibilidad del Stop Loss, manteniéndose en un rol consultivo sin forzar la ejecución de otros agentes.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