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jf6tqo3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Técnica Definitiva: Agente de Generación y Optimización de Estrategias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9x1oxr5ej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trading_strategy_agent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Asistir al usuario en la formulación, refinamiento y parametrización de hipótesis de trading sobre un catálogo cerrado de plantillas algorítmicas, garantizando la coherencia técnica de los parámetros y generando configuraciones estructuradas listas para su ejecución en el motor determinista de backtest.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pngljux6v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Bajo demanda (Reactivo / Interactivo).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Petición explícita del usuario a través del chat del departamento o mención directa al agente.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Sesión conversacional orientada a objetivos. Finaliza cuando se emite y valida el artefacto estructurado de la estrategia.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1bi1baxe9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del usuario (Lenguaje Natural):</w:t>
      </w:r>
      <w:r w:rsidDel="00000000" w:rsidR="00000000" w:rsidRPr="00000000">
        <w:rPr>
          <w:rtl w:val="0"/>
        </w:rPr>
        <w:t xml:space="preserve"> Tesis de inversión, activo objetivo, marco temporal (</w:t>
      </w:r>
      <w:r w:rsidDel="00000000" w:rsidR="00000000" w:rsidRPr="00000000">
        <w:rPr>
          <w:i w:val="1"/>
          <w:iCs w:val="1"/>
          <w:rtl w:val="0"/>
        </w:rPr>
        <w:t xml:space="preserve">timeframe</w:t>
      </w:r>
      <w:r w:rsidDel="00000000" w:rsidR="00000000" w:rsidRPr="00000000">
        <w:rPr>
          <w:rtl w:val="0"/>
        </w:rPr>
        <w:t xml:space="preserve">) y estilo operativo deseado.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de plantillas soportadas (Sistema):</w:t>
      </w:r>
      <w:r w:rsidDel="00000000" w:rsidR="00000000" w:rsidRPr="00000000">
        <w:rPr>
          <w:rtl w:val="0"/>
        </w:rPr>
        <w:t xml:space="preserve"> Definiciones de esquemas cerrados admitidos en el MVP: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trend_ma_crossover</w:t>
      </w:r>
      <w:r w:rsidDel="00000000" w:rsidR="00000000" w:rsidRPr="00000000">
        <w:rPr>
          <w:rtl w:val="0"/>
        </w:rPr>
        <w:t xml:space="preserve"> (Cruce de medias móviles simples o exponenciales).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momentum_rsi_oscillator</w:t>
      </w:r>
      <w:r w:rsidDel="00000000" w:rsidR="00000000" w:rsidRPr="00000000">
        <w:rPr>
          <w:rtl w:val="0"/>
        </w:rPr>
        <w:t xml:space="preserve"> (Reversión a la media / Sobrecompra y sobreventa con RSI).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volatility_bollinger_breakout</w:t>
      </w:r>
      <w:r w:rsidDel="00000000" w:rsidR="00000000" w:rsidRPr="00000000">
        <w:rPr>
          <w:rtl w:val="0"/>
        </w:rPr>
        <w:t xml:space="preserve"> (Ruptura de volatilidad y expansión de bandas de Bollinger).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Restricciones operativas:</w:t>
      </w:r>
      <w:r w:rsidDel="00000000" w:rsidR="00000000" w:rsidRPr="00000000">
        <w:rPr>
          <w:rtl w:val="0"/>
        </w:rPr>
        <w:t xml:space="preserve"> Tolerancia al riesgo, tipo de órdenes y límites de apalancamiento definidos por el usuario.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de mercado (Lectura opcional del Almacén Central):</w:t>
      </w:r>
      <w:r w:rsidDel="00000000" w:rsidR="00000000" w:rsidRPr="00000000">
        <w:rPr>
          <w:rtl w:val="0"/>
        </w:rPr>
        <w:t xml:space="preserve"> Snapshot de volatilidad y régimen de mercado actual para contextualizar las recomendaciones iniciales.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43z4k5dow9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 de Esquemas y Plantillas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StrategyTemplateRegistry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Repositorio local de esquemas JSON / Pydantic con tipos de datos, valores por defecto y rangos permitidos para cada plantilla.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Validador Determinista de Parámetros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ParameterSchemaValidator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Módulo de código estricto que valida tipos, coherencia lógica (por ejemplo, asegurar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fast_period &lt; slow_period</w:t>
      </w:r>
      <w:r w:rsidDel="00000000" w:rsidR="00000000" w:rsidRPr="00000000">
        <w:rPr>
          <w:rtl w:val="0"/>
        </w:rPr>
        <w:t xml:space="preserve">) y límites físicos de los parámetros antes de confirmar la estrategia.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oe5kqlque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Formulación:</w:t>
      </w:r>
      <w:r w:rsidDel="00000000" w:rsidR="00000000" w:rsidRPr="00000000">
        <w:rPr>
          <w:rtl w:val="0"/>
        </w:rPr>
        <w:t xml:space="preserve"> Traduce la intención del usuario a una de las tres plantillas soportadas, solicitando clarificación si la petición no encaja en el catálogo.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guiada (MVP):</w:t>
      </w:r>
      <w:r w:rsidDel="00000000" w:rsidR="00000000" w:rsidRPr="00000000">
        <w:rPr>
          <w:rtl w:val="0"/>
        </w:rPr>
        <w:t xml:space="preserve"> Proceso dialéctico donde el agente sugiere rangos acotados y justificados de parámetros (por ejemplo, adaptar periodos según la volatilidad típica del activo), sin ejecución de algoritmos genéticos ni barridos masivos por fuerza bruta.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para fases futuras (Roadmap):</w:t>
      </w:r>
      <w:r w:rsidDel="00000000" w:rsidR="00000000" w:rsidRPr="00000000">
        <w:rPr>
          <w:rtl w:val="0"/>
        </w:rPr>
        <w:t xml:space="preserve"> La futura incorporación de un motor de optimización automática por computación pesada deberá implementar obligatoriamente un protocolo de validación </w:t>
      </w:r>
      <w:r w:rsidDel="00000000" w:rsidR="00000000" w:rsidRPr="00000000">
        <w:rPr>
          <w:i w:val="1"/>
          <w:iCs w:val="1"/>
          <w:rtl w:val="0"/>
        </w:rPr>
        <w:t xml:space="preserve">walk-forward</w:t>
      </w:r>
      <w:r w:rsidDel="00000000" w:rsidR="00000000" w:rsidRPr="00000000">
        <w:rPr>
          <w:rtl w:val="0"/>
        </w:rPr>
        <w:t xml:space="preserve"> y división de datos </w:t>
      </w:r>
      <w:r w:rsidDel="00000000" w:rsidR="00000000" w:rsidRPr="00000000">
        <w:rPr>
          <w:i w:val="1"/>
          <w:iCs w:val="1"/>
          <w:rtl w:val="0"/>
        </w:rPr>
        <w:t xml:space="preserve">in-sample / out-of-sample</w:t>
      </w:r>
      <w:r w:rsidDel="00000000" w:rsidR="00000000" w:rsidRPr="00000000">
        <w:rPr>
          <w:rtl w:val="0"/>
        </w:rPr>
        <w:t xml:space="preserve"> antes de catalogar cualquier combinación como recomendada, mitigando el riesgo de sobreajuste (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jtybdoq1y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Artefacto Estructurado (JSON emitido al Almacén Central de Estado):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: Identificador único generado para la instancia de la estrategia.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template_id</w:t>
      </w:r>
      <w:r w:rsidDel="00000000" w:rsidR="00000000" w:rsidRPr="00000000">
        <w:rPr>
          <w:rtl w:val="0"/>
        </w:rPr>
        <w:t xml:space="preserve">: Identificador de la plantilla seleccionada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trend_ma_crossover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momentum_rsi_oscillator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volatility_bollinger_breakout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tl w:val="0"/>
        </w:rPr>
        <w:t xml:space="preserve">: Par o símbolo asignado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BTC/USDT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EUR/USD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timeframe</w:t>
      </w:r>
      <w:r w:rsidDel="00000000" w:rsidR="00000000" w:rsidRPr="00000000">
        <w:rPr>
          <w:rtl w:val="0"/>
        </w:rPr>
        <w:t xml:space="preserve">: Temporalidad de las velas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Diccionario validado con los valores asignados a cada variable de la plantilla.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risk_defaults</w:t>
      </w:r>
      <w:r w:rsidDel="00000000" w:rsidR="00000000" w:rsidRPr="00000000">
        <w:rPr>
          <w:rtl w:val="0"/>
        </w:rPr>
        <w:t xml:space="preserve">: Configuración básica de stop loss y take profit requerida por el esquema.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Narrativa al Usuario: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Justificación técnica y conceptual de la configuración recomendada.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de los escenarios de mercado favorables y condiciones de fallo comunes (por ejemplo, falsas rupturas en mercados en rango para estrategias tendenciales).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Ficha resumen de parámetros para confirmación del usuario antes de proceder a cualquier prueba cuantitativa.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 Source of Truth (SSoT) para el Catálogo de Estrategias: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StrategyTemplateRegistry</w:t>
      </w:r>
      <w:r w:rsidDel="00000000" w:rsidR="00000000" w:rsidRPr="00000000">
        <w:rPr>
          <w:rtl w:val="0"/>
        </w:rPr>
        <w:t xml:space="preserve"> es un módulo de infraestructura transversal y centralizado. Define el esquema canónico, los metadatos de validación y la lógica de ejecución de cada plantilla. Es consumido de forma idéntica por el </w:t>
      </w:r>
      <w:r w:rsidDel="00000000" w:rsidR="00000000" w:rsidRPr="00000000">
        <w:rPr>
          <w:b w:val="1"/>
          <w:bCs w:val="1"/>
          <w:rtl w:val="0"/>
        </w:rPr>
        <w:t xml:space="preserve">Agente de Estrategias</w:t>
      </w:r>
      <w:r w:rsidDel="00000000" w:rsidR="00000000" w:rsidRPr="00000000">
        <w:rPr>
          <w:rtl w:val="0"/>
        </w:rPr>
        <w:t xml:space="preserve"> (para parametrizar y validar entradas), el </w:t>
      </w:r>
      <w:r w:rsidDel="00000000" w:rsidR="00000000" w:rsidRPr="00000000">
        <w:rPr>
          <w:b w:val="1"/>
          <w:bCs w:val="1"/>
          <w:rtl w:val="0"/>
        </w:rPr>
        <w:t xml:space="preserve">Motor de Backtest</w:t>
      </w:r>
      <w:r w:rsidDel="00000000" w:rsidR="00000000" w:rsidRPr="00000000">
        <w:rPr>
          <w:rtl w:val="0"/>
        </w:rPr>
        <w:t xml:space="preserve"> (para ejecutar las simulaciones) y cualquier futuro componente. Ningún agente almacena esquemas propios ni duplicados.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