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5exowx817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Ficha Técnica Definitiva: Agente de Gestión de Riesgo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ofybfsqcs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Identificación y Misión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del componente: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trading_risk_management_agent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Departamento:</w:t>
      </w:r>
      <w:r w:rsidDel="00000000" w:rsidR="00000000" w:rsidRPr="00000000">
        <w:rPr>
          <w:rtl w:val="0"/>
        </w:rPr>
        <w:t xml:space="preserve"> Trading (🟦)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Misión:</w:t>
      </w:r>
      <w:r w:rsidDel="00000000" w:rsidR="00000000" w:rsidRPr="00000000">
        <w:rPr>
          <w:rtl w:val="0"/>
        </w:rPr>
        <w:t xml:space="preserve"> Asistir al usuario como consultor cuantitativo bajo demanda para la preservación de capital, calculando de forma matemática y determinista el dimensionamiento de posición, ratio riesgo/beneficio (R:RR:RR:R), exposición total y drawdowns proyectados, tanto para consultas independientes como para estrategias persistidas en el sistema.</w:t>
        <w:br w:type="textWrapping"/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sx6jgvpxvn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Modo de Activación y Ciclo de Vida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Modo:</w:t>
      </w:r>
      <w:r w:rsidDel="00000000" w:rsidR="00000000" w:rsidRPr="00000000">
        <w:rPr>
          <w:rtl w:val="0"/>
        </w:rPr>
        <w:t xml:space="preserve"> Bajo demanda pura (Reactivo / Consultor interactivo).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Disparador:</w:t>
      </w:r>
      <w:r w:rsidDel="00000000" w:rsidR="00000000" w:rsidRPr="00000000">
        <w:rPr>
          <w:rtl w:val="0"/>
        </w:rPr>
        <w:t xml:space="preserve"> Consulta explícita del usuario en el chat del departamento o mención directa al agente.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 de vida:</w:t>
      </w:r>
      <w:r w:rsidDel="00000000" w:rsidR="00000000" w:rsidRPr="00000000">
        <w:rPr>
          <w:rtl w:val="0"/>
        </w:rPr>
        <w:t xml:space="preserve"> Sesión interactiva puntual. Recibe parámetros 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strategy_id</w:t>
      </w:r>
      <w:r w:rsidDel="00000000" w:rsidR="00000000" w:rsidRPr="00000000">
        <w:rPr>
          <w:rtl w:val="0"/>
        </w:rPr>
        <w:t xml:space="preserve">, consulta los servicios compartidos de datos y estado, ejecuta los cálculos en el motor determinista de riesgo y emite el diagnóstico cuantitativo.</w:t>
        <w:br w:type="textWrapping"/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me31nihgg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Entradas Requeridas (Inputs)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 de Cuenta (Entrada del Usuario):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Capital total o balance de cuenta disponible.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Divisa base de la cuenta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USDT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Porcentaje de riesgo máximo tolerado por operación (R%R\%R%).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A — Vía Referencia de Estrategia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strategy_id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Identificador de un artefacto de estrategia generado previamente por el Agente de Estrategias y almacenado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DepartmentContextStore</w:t>
      </w:r>
      <w:r w:rsidDel="00000000" w:rsidR="00000000" w:rsidRPr="00000000">
        <w:rPr>
          <w:rtl w:val="0"/>
        </w:rPr>
        <w:t xml:space="preserve">. El agente extrae automáticamente: activo, marco temporal, reglas de entrada, nivel de stop loss y objetivo de take profit configurados.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B — Vía Entrada Manual: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Activo / Símbolo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Precio de entrada previsto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entry_price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Precio de stop loss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stop_loss_price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Precio de take profit opcional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take_profit_price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robivt6jfg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Herramientas y Servicios Externos (Tools)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Determinista de Datos e Indicadores de Mercado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MarketDataEngine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Servicio transversal del que obtiene el precio actual del activo, el valor de ATR (</w:t>
      </w:r>
      <w:r w:rsidDel="00000000" w:rsidR="00000000" w:rsidRPr="00000000">
        <w:rPr>
          <w:i w:val="1"/>
          <w:iCs w:val="1"/>
          <w:rtl w:val="0"/>
        </w:rPr>
        <w:t xml:space="preserve">Average True Range</w:t>
      </w:r>
      <w:r w:rsidDel="00000000" w:rsidR="00000000" w:rsidRPr="00000000">
        <w:rPr>
          <w:rtl w:val="0"/>
        </w:rPr>
        <w:t xml:space="preserve">) en la temporalidad relevante y la volatilidad realizada reciente para contrastar el stop loss con el ruido de mercado.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Almacén Central de Estado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DepartmentContextStore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Módulo de lectura para recuperar la especificación técnica de la estrategia cuando se suministra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Cálculo de Riesgo Determinista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RiskCalculatorEngine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Módulo de cálculo matemático estricto (cero inferencia LLM) que computa: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Dimensionamiento de posición exacto (unidades/lotes/contratos).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Monto monetario en riesgo.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 Riesgo/Beneficio (R:RR:RR:R).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Nivel de apalancamiento efectivo.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Proyección de pérdidas por rachas adversas consecutivas.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ha5xvyzgf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Alcance Operativo y Lógica de Negocio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 contextualizada:</w:t>
      </w:r>
      <w:r w:rsidDel="00000000" w:rsidR="00000000" w:rsidRPr="00000000">
        <w:rPr>
          <w:rtl w:val="0"/>
        </w:rPr>
        <w:t xml:space="preserve"> Si se provee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strategy_id</w:t>
      </w:r>
      <w:r w:rsidDel="00000000" w:rsidR="00000000" w:rsidRPr="00000000">
        <w:rPr>
          <w:rtl w:val="0"/>
        </w:rPr>
        <w:t xml:space="preserve">, analiza el riesgo dentro del marco operativo de la plantilla (ej. si la plantilla es de ruptura, evalúa la holgura del stop con respecto a las bandas de Bollinger o el ATR provisto por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MarketDataEngine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Autonomía y control:</w:t>
      </w:r>
      <w:r w:rsidDel="00000000" w:rsidR="00000000" w:rsidRPr="00000000">
        <w:rPr>
          <w:rtl w:val="0"/>
        </w:rPr>
        <w:t xml:space="preserve"> El agente asesora y calcula; no ejecuta órdenes en brokers ni bloquea al usuario.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de evolución futura (Roadmap):</w:t>
      </w:r>
      <w:r w:rsidDel="00000000" w:rsidR="00000000" w:rsidRPr="00000000">
        <w:rPr>
          <w:rtl w:val="0"/>
        </w:rPr>
        <w:t xml:space="preserve"> Sugerencia proactiva no bloqueante por parte del orquestador tras guardar una estrategia nueva: </w:t>
      </w:r>
      <w:r w:rsidDel="00000000" w:rsidR="00000000" w:rsidRPr="00000000">
        <w:rPr>
          <w:i w:val="1"/>
          <w:iCs w:val="1"/>
          <w:rtl w:val="0"/>
        </w:rPr>
        <w:t xml:space="preserve">"¿Quieres calcular el dimensionamiento de riesgo para esta estrategia con tu capital actual?"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www18zuqe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Salidas Producidas (Outputs)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Artefacto Estructurado (JSON emitido 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DepartmentContextStore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  <w:br w:type="textWrapping"/>
      </w:r>
      <w:r w:rsidDel="00000000" w:rsidR="00000000" w:rsidRPr="00000000">
        <w:rPr>
          <w:rtl w:val="0"/>
        </w:rPr>
        <w:t xml:space="preserve"> json</w:t>
        <w:br w:type="textWrapping"/>
        <w:t xml:space="preserve">Copy</w:t>
        <w:br w:type="textWrapping"/>
        <w:t xml:space="preserve">{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"risk_assessment_id": "risk_calc_20261014_002",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"strategy_ref_id": "strat_btc_trend_089",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"asset": "BTC/USDT",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"account_equity": 10000.0,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"risk_percentage": 1.0,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"risk_amount_fiat": 100.0,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"entry_price": 60000.0,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"stop_loss_price": 58500.0,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"take_profit_price": 64500.0,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"position_size_units": 0.06666,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"position_size_notional": 4000.0,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"effective_leverage": 0.4,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"risk_reward_ratio": 3.0,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"atr_stop_distance_ratio": 1.8,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"market_volatility_snapshot": {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"atr_value": 830.5,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"timeframe": "1h"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},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"risk_tier": "conservative"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  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Respuesta Narrativa al Usuario: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Indicación clara de cuántas unidades operar, riesgo monetario exacto y apalancamiento resultante.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Diagnóstico del ratio R:RR:RR:R frente al objetivo.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Advertencia de ruido estadístico si la distancia al stop loss es inferior a $1 \times \text{ATR}$ según los datos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MarketDataEngine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