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cvb2b3gval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Subagente Tendencial e Intermercado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jt68sra4aw9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Identificación y Misión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 del componente: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macro_trend_specialist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Departamento:</w:t>
      </w:r>
      <w:r w:rsidDel="00000000" w:rsidR="00000000" w:rsidRPr="00000000">
        <w:rPr>
          <w:rtl w:val="0"/>
        </w:rPr>
        <w:t xml:space="preserve"> Trading (🟦) — Área de Estrategias Técnicas.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Misión:</w:t>
      </w:r>
      <w:r w:rsidDel="00000000" w:rsidR="00000000" w:rsidRPr="00000000">
        <w:rPr>
          <w:rtl w:val="0"/>
        </w:rPr>
        <w:t xml:space="preserve"> Determinar el sesgo direccional dominante de medio y largo plazo en el oro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XAU/USD</w:t>
      </w:r>
      <w:r w:rsidDel="00000000" w:rsidR="00000000" w:rsidRPr="00000000">
        <w:rPr>
          <w:rtl w:val="0"/>
        </w:rPr>
        <w:t xml:space="preserve">), analizando la estructura técnica de velas diarias/4 horas y correlacionándola matemáticamente con los movimientos del Índice Dólar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DXY</w:t>
      </w:r>
      <w:r w:rsidDel="00000000" w:rsidR="00000000" w:rsidRPr="00000000">
        <w:rPr>
          <w:rtl w:val="0"/>
        </w:rPr>
        <w:t xml:space="preserve">) y los Rendimientos de Bonos del Tesoro a 10 años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US10Y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duyx7ktxvlu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Modo de Activación y Ciclo de Vida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Modo:</w:t>
      </w:r>
      <w:r w:rsidDel="00000000" w:rsidR="00000000" w:rsidRPr="00000000">
        <w:rPr>
          <w:rtl w:val="0"/>
        </w:rPr>
        <w:t xml:space="preserve"> Reactivo (Consultado por el Director o Agente de Estrategias) y Actualización periódica en el Context Store.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Disparador:</w:t>
      </w:r>
      <w:r w:rsidDel="00000000" w:rsidR="00000000" w:rsidRPr="00000000">
        <w:rPr>
          <w:rtl w:val="0"/>
        </w:rPr>
        <w:t xml:space="preserve"> Solicitud de análisis de sesgo macro/tendencial o al cierre de cada vela diaria/4h.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Ciclo de vida:</w:t>
      </w:r>
      <w:r w:rsidDel="00000000" w:rsidR="00000000" w:rsidRPr="00000000">
        <w:rPr>
          <w:rtl w:val="0"/>
        </w:rPr>
        <w:t xml:space="preserve"> Procesa los datos multi-activo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MarketDataEngine</w:t>
      </w:r>
      <w:r w:rsidDel="00000000" w:rsidR="00000000" w:rsidRPr="00000000">
        <w:rPr>
          <w:rtl w:val="0"/>
        </w:rPr>
        <w:t xml:space="preserve">, calcula coeficientes de correlación y emite el informe de sesgo direccional.</w:t>
        <w:br w:type="textWrapping"/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gkdu4mo7krm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Entradas Requeridas (Inputs)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Series temporales diarias y 4h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MarketDataEngine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Velas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XAU/USD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DXY</w:t>
      </w:r>
      <w:r w:rsidDel="00000000" w:rsidR="00000000" w:rsidRPr="00000000">
        <w:rPr>
          <w:rtl w:val="0"/>
        </w:rPr>
        <w:t xml:space="preserve"> (Índice Dólar)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US10Y</w:t>
      </w:r>
      <w:r w:rsidDel="00000000" w:rsidR="00000000" w:rsidRPr="00000000">
        <w:rPr>
          <w:rtl w:val="0"/>
        </w:rPr>
        <w:t xml:space="preserve"> (Rendimiento del Bono Americano).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Indicadores Técnicos de Tendencia:</w:t>
      </w:r>
      <w:r w:rsidDel="00000000" w:rsidR="00000000" w:rsidRPr="00000000">
        <w:rPr>
          <w:rtl w:val="0"/>
        </w:rPr>
        <w:t xml:space="preserve"> Medias móviles exponenciales clave (EMA 50, EMA 200) y estructura de máximos/mínimos crecientes o decrecientes.</w:t>
        <w:br w:type="textWrapping"/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vm8fzku76me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Herramientas y Servicios Externos (Tools)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Motor Determinista de Correlaciones Intermercado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IntermarketAnalyticsEngine</w:t>
      </w:r>
      <w:r w:rsidDel="00000000" w:rsidR="00000000" w:rsidRPr="00000000">
        <w:rPr>
          <w:b w:val="1"/>
          <w:bCs w:val="1"/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Computa el Coeficiente de Correlación de Pearson a 30 y 90 días entre el Oro y el DXY / US10Y.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 si la correlación inversa tradicional (Oro sube cuando Dólar/Tipos bajan) está activa o desacoplada (ej. en crisis geopolíticas donde Oro y Dólar suben a la vez como refugio).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de Detección de Estructura de Tendencia:</w:t>
      </w:r>
      <w:r w:rsidDel="00000000" w:rsidR="00000000" w:rsidRPr="00000000">
        <w:rPr>
          <w:rtl w:val="0"/>
        </w:rPr>
        <w:t xml:space="preserve"> Identificación algorítmica de fases (Alcista, Bajista, Consolidación / Acumulación).</w:t>
        <w:br w:type="textWrapping"/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tvgj75pe2bt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Alcance Operativo y Lógica de Negocio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Filtro direccional mayor:</w:t>
      </w:r>
      <w:r w:rsidDel="00000000" w:rsidR="00000000" w:rsidRPr="00000000">
        <w:rPr>
          <w:rtl w:val="0"/>
        </w:rPr>
        <w:t xml:space="preserve"> Evita que el usuario o el equipo tomen posiciones cortas agresivas cuando la macro y la estructura diaria del oro están en una tendencia alcista institucional sin fisuras.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Detección de anomalías intermercado:</w:t>
      </w:r>
      <w:r w:rsidDel="00000000" w:rsidR="00000000" w:rsidRPr="00000000">
        <w:rPr>
          <w:rtl w:val="0"/>
        </w:rPr>
        <w:t xml:space="preserve"> Alerta si el oro muestra fortaleza relativa inusual mientras el dólar también sube, señalando una fuerte demanda geopolítica subyacente.</w:t>
        <w:br w:type="textWrapping"/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vvvtjo69dbe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Salidas Producidas (Outputs)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Artefacto Estructurado (JSON):</w:t>
        <w:br w:type="textWrapping"/>
        <w:br w:type="textWrapping"/>
      </w:r>
      <w:r w:rsidDel="00000000" w:rsidR="00000000" w:rsidRPr="00000000">
        <w:rPr>
          <w:rtl w:val="0"/>
        </w:rPr>
        <w:t xml:space="preserve"> json</w:t>
        <w:br w:type="textWrapping"/>
        <w:t xml:space="preserve">Copy</w:t>
        <w:br w:type="textWrapping"/>
        <w:t xml:space="preserve">{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"trend_macro_id": "trend_xau_20261014",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"asset": "XAU/USD",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"daily_structure": "strong_bullish",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"ema_alignment": "bullish_stack_50_above_200",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"intermarket_context": {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"dxy_trend": "bearish_correction",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"us10y_trend": "neutral",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"gold_dxy_correlation_30d": -0.82,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"regime": "standard_inverse_correlation"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},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"macro_bias_score": 8.5,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"directional_recommendation": "only_longs_favored_on_pullbacks"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  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Diagnóstico Técnico:</w:t>
      </w:r>
      <w:r w:rsidDel="00000000" w:rsidR="00000000" w:rsidRPr="00000000">
        <w:rPr>
          <w:rtl w:val="0"/>
        </w:rPr>
        <w:t xml:space="preserve"> Resumen claro del estado de la tendencia mayor y de cómo los activos intermercado respaldan o contradicen el movimiento del oro.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