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vz7dozrjb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Subagente de Reversión y Extensión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4t9jgzs5q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Identificación y Misión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del 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mean_reversion_specialist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Trading (🟦) — Área de Estrategias Técnicas.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Detectar condiciones de estiramiento excesivo o agotamiento del precio del oro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XAU/USD</w:t>
      </w:r>
      <w:r w:rsidDel="00000000" w:rsidR="00000000" w:rsidRPr="00000000">
        <w:rPr>
          <w:rtl w:val="0"/>
        </w:rPr>
        <w:t xml:space="preserve">) tanto en gráficos intradiarios (15m, 1h) como diarios, utilizando osciladores cuantitativos, desviaciones estándar de Bollinger y divergencias de momento para proponer entradas de retroceso a la media o alertar de techos/suelos locales.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ydqax48b6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Modo de Activación y Ciclo de Vida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Modo:</w:t>
      </w:r>
      <w:r w:rsidDel="00000000" w:rsidR="00000000" w:rsidRPr="00000000">
        <w:rPr>
          <w:rtl w:val="0"/>
        </w:rPr>
        <w:t xml:space="preserve"> Reactivo (Consultado por el Agente de Estrategias o Director) y Ejecución en Backtesting.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Solicitud de análisis de sobrecompra/sobreventa o parametrización de estrategias de reversión.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vida:</w:t>
      </w:r>
      <w:r w:rsidDel="00000000" w:rsidR="00000000" w:rsidRPr="00000000">
        <w:rPr>
          <w:rtl w:val="0"/>
        </w:rPr>
        <w:t xml:space="preserve"> Recibe indicadores computados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MarketDataEngine</w:t>
      </w:r>
      <w:r w:rsidDel="00000000" w:rsidR="00000000" w:rsidRPr="00000000">
        <w:rPr>
          <w:rtl w:val="0"/>
        </w:rPr>
        <w:t xml:space="preserve">, evalúa condiciones de agotamiento y devuelve el análisis de probabilidad de reversión.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huk8hhd2a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Entradas Requeridas (Inputs)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técnicos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MarketDataEngine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Serie de precios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XAU/USD</w:t>
      </w:r>
      <w:r w:rsidDel="00000000" w:rsidR="00000000" w:rsidRPr="00000000">
        <w:rPr>
          <w:rtl w:val="0"/>
        </w:rPr>
        <w:t xml:space="preserve"> (15m, 1h, 4h).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Valores de osciladores calculados matemáticamente: RSI (14 periodos), Desviaciones estándar frente a Media Móvil (Bandas de Bollinger 20 periodos, 2 desviaciones) y ATR.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Niveles clave de soporte y resistencia horizontal:</w:t>
      </w:r>
      <w:r w:rsidDel="00000000" w:rsidR="00000000" w:rsidRPr="00000000">
        <w:rPr>
          <w:rtl w:val="0"/>
        </w:rPr>
        <w:t xml:space="preserve"> Puntos de pivote diarios o zonas de oferta/demanda relevantes.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5hpr6tqj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Herramientas y Servicios Externos (Tools)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Detector Determinista de Divergencias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DivergenceDetectorEngine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Algoritmo que compara los picos y valles del precio con los picos y valles del RSI, identificando divergencias regulares (señal de reversión) u ocultas (señal de continuación).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Calculador de Desviación Z-Score:</w:t>
      </w:r>
      <w:r w:rsidDel="00000000" w:rsidR="00000000" w:rsidRPr="00000000">
        <w:rPr>
          <w:rtl w:val="0"/>
        </w:rPr>
        <w:t xml:space="preserve"> Mide cuántas desviaciones estándar se encuentra el precio respecto a su media móvil ponderada.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6jsa1feooh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Alcance Operativo y Lógica de Negocio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Contextualización de la reversión:</w:t>
      </w:r>
      <w:r w:rsidDel="00000000" w:rsidR="00000000" w:rsidRPr="00000000">
        <w:rPr>
          <w:rtl w:val="0"/>
        </w:rPr>
        <w:t xml:space="preserve"> El oro en fuerte tendencia puede mantenerse en sobrecompra durante días; por ello, este agente exige </w:t>
      </w:r>
      <w:r w:rsidDel="00000000" w:rsidR="00000000" w:rsidRPr="00000000">
        <w:rPr>
          <w:b w:val="1"/>
          <w:bCs w:val="1"/>
          <w:rtl w:val="0"/>
        </w:rPr>
        <w:t xml:space="preserve">confluencia obligatoria</w:t>
      </w:r>
      <w:r w:rsidDel="00000000" w:rsidR="00000000" w:rsidRPr="00000000">
        <w:rPr>
          <w:rtl w:val="0"/>
        </w:rPr>
        <w:t xml:space="preserve"> (ej. sobrecompra en RSI + toque del límite superior de Bollinger + divergencia bajista) antes de calificar una hipótesis de reversión como válida.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Delimitación de objetivos:</w:t>
      </w:r>
      <w:r w:rsidDel="00000000" w:rsidR="00000000" w:rsidRPr="00000000">
        <w:rPr>
          <w:rtl w:val="0"/>
        </w:rPr>
        <w:t xml:space="preserve"> Toda hipótesis de reversión define su take profit natural en la media móvil central de 20 periodos (</w:t>
      </w:r>
      <w:r w:rsidDel="00000000" w:rsidR="00000000" w:rsidRPr="00000000">
        <w:rPr>
          <w:i w:val="1"/>
          <w:i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), no en el extremo opuesto.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qhc07qnjt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Salidas Producidas (Outputs)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Artefacto Estructurado (JSON):</w:t>
        <w:br w:type="textWrapping"/>
        <w:br w:type="textWrapping"/>
      </w:r>
      <w:r w:rsidDel="00000000" w:rsidR="00000000" w:rsidRPr="00000000">
        <w:rPr>
          <w:rtl w:val="0"/>
        </w:rPr>
        <w:t xml:space="preserve"> json</w:t>
        <w:br w:type="textWrapping"/>
        <w:t xml:space="preserve">Copy</w:t>
        <w:br w:type="textWrapping"/>
        <w:t xml:space="preserve">{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"reversion_snapshot_id": "rev_xau_20261014_1100",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"asset": "XAU/USD",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"timeframe": "1h",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"rsi_14": 76.4,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"bollinger_upper_touch": true,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"z_score_deviation": 2.45,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"divergence_detected": {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"type": "regular_bearish",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"strength": "high"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"reversion_probability_tier": "high",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"suggested_target_mean": 2638.00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Técnico:</w:t>
      </w:r>
      <w:r w:rsidDel="00000000" w:rsidR="00000000" w:rsidRPr="00000000">
        <w:rPr>
          <w:rtl w:val="0"/>
        </w:rPr>
        <w:t xml:space="preserve"> Explicación detallada de los factores de agotamiento identificados, alertando contra compras tardías (</w:t>
      </w:r>
      <w:r w:rsidDel="00000000" w:rsidR="00000000" w:rsidRPr="00000000">
        <w:rPr>
          <w:i w:val="1"/>
          <w:iCs w:val="1"/>
          <w:rtl w:val="0"/>
        </w:rPr>
        <w:t xml:space="preserve">FOMO</w:t>
      </w:r>
      <w:r w:rsidDel="00000000" w:rsidR="00000000" w:rsidRPr="00000000">
        <w:rPr>
          <w:rtl w:val="0"/>
        </w:rPr>
        <w:t xml:space="preserve">) y definiendo los niveles de invalidación en caso de que la fuerza compradora continúe.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