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1 Rubric</w:t>
      </w:r>
    </w:p>
    <w:p>
      <w:pPr>
        <w:pStyle w:val="Normal"/>
        <w:spacing w:before="0" w:after="0"/>
        <w:rPr/>
      </w:pPr>
      <w:r>
        <w:rPr/>
        <w:t>EECS 658 – Introduction to Machine Learning</w:t>
      </w:r>
    </w:p>
    <w:p>
      <w:pPr>
        <w:pStyle w:val="Normal"/>
        <w:spacing w:before="0" w:after="0"/>
        <w:rPr/>
      </w:pPr>
      <w:r>
        <w:rPr/>
        <w:t>Due: 11:59 PM, Thursday, September 5, 2024</w:t>
      </w:r>
    </w:p>
    <w:p>
      <w:pPr>
        <w:pStyle w:val="Normal"/>
        <w:spacing w:before="120" w:after="120"/>
        <w:rPr>
          <w:b/>
          <w:b/>
          <w:sz w:val="28"/>
          <w:szCs w:val="28"/>
        </w:rPr>
      </w:pPr>
      <w:r>
        <w:rPr>
          <w:b/>
          <w:sz w:val="28"/>
          <w:szCs w:val="28"/>
        </w:rPr>
        <w:t xml:space="preserve">Student: </w:t>
      </w:r>
      <w:r>
        <w:rPr>
          <w:b/>
          <w:sz w:val="28"/>
          <w:szCs w:val="28"/>
        </w:rPr>
        <w:t>Arnav Jain</w:t>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 xml:space="preserve">Name of the zip file: FirstnameLastname_Assignment1 (with your first and last name). </w:t>
            </w:r>
            <w:bookmarkStart w:id="0" w:name="_Hlk121929360"/>
            <w:r>
              <w:rPr>
                <w:rFonts w:cs="Calibri"/>
                <w:color w:val="000000"/>
              </w:rPr>
              <w:t>Files in other formats (e.g., .tar will not be graded).</w:t>
            </w:r>
            <w:bookmarkEnd w:id="0"/>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FirstnameLastname_Assignment1</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1.docx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Python source code for CheckVersions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Screen print showing the successful execution of CheckVersions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Python source code for NBClassifier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Screen print showing the successful execution of NBClassifier</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Values in confusion matrix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Calculation for and answer to 6a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6b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6c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bottom"/>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9</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Calculation for and answer to 6d are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p>
      <w:pPr>
        <w:pStyle w:val="Normal"/>
        <w:rPr>
          <w:rFonts w:eastAsia="Droid Sans" w:cs="Calibri" w:cstheme="minorHAnsi"/>
          <w:b/>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3</Pages>
  <Words>597</Words>
  <Characters>2968</Characters>
  <CharactersWithSpaces>3473</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2023-08-15T18:33:00Z</dcterms:created>
  <dc:creator>Johnson, David Orville</dc:creator>
  <dc:description/>
  <dc:language>en-US</dc:language>
  <cp:lastModifiedBy/>
  <dcterms:modified xsi:type="dcterms:W3CDTF">2024-09-03T13:04:09Z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