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3 Rubric</w:t>
      </w:r>
    </w:p>
    <w:p>
      <w:pPr>
        <w:pStyle w:val="Normal"/>
        <w:spacing w:before="0" w:after="0"/>
        <w:rPr/>
      </w:pPr>
      <w:r>
        <w:rPr/>
        <w:t>EECS 658</w:t>
      </w:r>
    </w:p>
    <w:p>
      <w:pPr>
        <w:pStyle w:val="Normal"/>
        <w:spacing w:before="0" w:after="0"/>
        <w:rPr/>
      </w:pPr>
      <w:r>
        <w:rPr/>
        <w:t>Introduction to Machine Learning</w:t>
      </w:r>
    </w:p>
    <w:p>
      <w:pPr>
        <w:pStyle w:val="Normal"/>
        <w:spacing w:before="0" w:after="0"/>
        <w:rPr/>
      </w:pPr>
      <w:r>
        <w:rPr/>
        <w:t>Due: 11:59 PM, Thursday, October 3, 2024</w:t>
      </w:r>
      <w:bookmarkStart w:id="0" w:name="_GoBack"/>
      <w:bookmarkEnd w:id="0"/>
    </w:p>
    <w:p>
      <w:pPr>
        <w:pStyle w:val="Normal"/>
        <w:spacing w:beforeAutospacing="1" w:afterAutospacing="1"/>
        <w:rPr>
          <w:b/>
          <w:b/>
          <w:sz w:val="28"/>
          <w:szCs w:val="28"/>
        </w:rPr>
      </w:pPr>
      <w:r>
        <w:rPr>
          <w:b/>
          <w:sz w:val="28"/>
          <w:szCs w:val="28"/>
        </w:rPr>
        <w:t xml:space="preserve">Student: </w:t>
      </w:r>
      <w:r>
        <w:rPr>
          <w:b/>
          <w:sz w:val="28"/>
          <w:szCs w:val="28"/>
        </w:rPr>
        <w:t>Arnav Jain</w:t>
      </w:r>
    </w:p>
    <w:p>
      <w:pPr>
        <w:pStyle w:val="Normal"/>
        <w:spacing w:beforeAutospacing="1" w:afterAutospacing="1"/>
        <w:rPr>
          <w:b/>
          <w:b/>
          <w:sz w:val="28"/>
          <w:szCs w:val="28"/>
        </w:rPr>
      </w:pPr>
      <w:r>
        <w:rPr>
          <w:b/>
          <w:sz w:val="28"/>
          <w:szCs w:val="28"/>
        </w:rPr>
        <w:t xml:space="preserve">Student ID: </w:t>
      </w:r>
      <w:r>
        <w:rPr>
          <w:b/>
          <w:sz w:val="28"/>
          <w:szCs w:val="28"/>
        </w:rPr>
        <w:t>3097021</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Name of the zip file: FirstnameLastname_Assignment3 (with your first and last name). Files in other formats (e.g., .tar will not be graded).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 xml:space="preserve">Name of the Assignment folder within the zip file: FirstnameLastname_Assignment3. </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rPr>
              <w:t>Copy of Rubric 3.docx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4</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Python source code for CompareMLModelsV2</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4</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Screen print showing the successful execution of CompareMLModelsV2</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Running CompareMLModelsV2 produces the correct confusion matrices</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The values in the 12 confusion tables each add up to 150</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4a is correct based on the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2</w:t>
            </w:r>
            <w:r>
              <w:rPr>
                <w:rFonts w:cs="Calibri" w:cstheme="minorHAnsi"/>
                <w:color w:val="000000"/>
                <w:vertAlign w:val="superscript"/>
              </w:rPr>
              <w:t>nd</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3</w:t>
            </w:r>
            <w:r>
              <w:rPr>
                <w:rFonts w:cs="Calibri" w:cstheme="minorHAnsi"/>
                <w:color w:val="000000"/>
                <w:vertAlign w:val="superscript"/>
              </w:rPr>
              <w:t>rd</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4</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5</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6</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7</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8</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9</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10</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11</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Answer to 4b is correct for 12</w:t>
            </w:r>
            <w:r>
              <w:rPr>
                <w:rFonts w:cs="Calibri" w:cstheme="minorHAnsi"/>
                <w:color w:val="000000"/>
                <w:vertAlign w:val="superscript"/>
              </w:rPr>
              <w:t>th</w:t>
            </w:r>
            <w:r>
              <w:rPr>
                <w:rFonts w:cs="Calibri" w:cstheme="minorHAnsi"/>
                <w:color w:val="000000"/>
              </w:rPr>
              <w:t xml:space="preserve"> best model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Python source code for Dbn.py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Screen print showing the successful execution of dbn.py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4</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Style w:val="Fnt0"/>
                <w:rFonts w:cs="Calibri" w:cstheme="minorHAnsi"/>
              </w:rPr>
            </w:pPr>
            <w:r>
              <w:rPr>
                <w:rFonts w:cs="Calibri" w:cstheme="minorHAnsi"/>
                <w:color w:val="000000"/>
              </w:rPr>
              <w:t>Running Dbn.py produces the same output as shown in the screen print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24</w:t>
            </w:r>
          </w:p>
        </w:tc>
        <w:tc>
          <w:tcPr>
            <w:tcW w:w="6913" w:type="dxa"/>
            <w:tcBorders>
              <w:left w:val="single" w:sz="2" w:space="0" w:color="000000"/>
              <w:bottom w:val="single" w:sz="2" w:space="0" w:color="000000"/>
              <w:right w:val="single" w:sz="2" w:space="0" w:color="000000"/>
            </w:tcBorders>
            <w:vAlign w:val="bottom"/>
          </w:tcPr>
          <w:p>
            <w:pPr>
              <w:pStyle w:val="Normal"/>
              <w:widowControl w:val="false"/>
              <w:spacing w:before="0" w:after="0"/>
              <w:rPr>
                <w:rFonts w:cs="Calibri" w:cstheme="minorHAnsi"/>
                <w:color w:val="000000"/>
              </w:rPr>
            </w:pPr>
            <w:r>
              <w:rPr>
                <w:rFonts w:cs="Calibri" w:cstheme="minorHAnsi"/>
                <w:color w:val="000000"/>
              </w:rPr>
              <w:t>Answers to 7a – 7h are correct.</w:t>
            </w:r>
          </w:p>
        </w:tc>
      </w:tr>
      <w:tr>
        <w:trPr/>
        <w:tc>
          <w:tcPr>
            <w:tcW w:w="1666" w:type="dxa"/>
            <w:tcBorders>
              <w:top w:val="single" w:sz="2" w:space="0" w:color="000000"/>
              <w:left w:val="single" w:sz="2" w:space="0" w:color="000000"/>
              <w:bottom w:val="double" w:sz="4"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single" w:sz="2" w:space="0" w:color="000000"/>
              <w:left w:val="single" w:sz="2" w:space="0" w:color="000000"/>
              <w:bottom w:val="double" w:sz="4" w:space="0" w:color="000000"/>
            </w:tcBorders>
            <w:vAlign w:val="center"/>
          </w:tcPr>
          <w:p>
            <w:pPr>
              <w:pStyle w:val="TableContents"/>
              <w:widowControl w:val="false"/>
              <w:jc w:val="center"/>
              <w:rPr>
                <w:rFonts w:ascii="Calibri" w:hAnsi="Calibri" w:cs="Calibri" w:asciiTheme="minorHAnsi" w:cstheme="minorHAnsi" w:hAnsiTheme="minorHAnsi"/>
              </w:rPr>
            </w:pPr>
            <w:r>
              <w:rPr>
                <w:rFonts w:cs="Calibri" w:ascii="Calibri" w:hAnsi="Calibri"/>
                <w:color w:val="000000"/>
                <w:sz w:val="22"/>
                <w:szCs w:val="22"/>
              </w:rPr>
              <w:t>25</w:t>
            </w:r>
          </w:p>
        </w:tc>
        <w:tc>
          <w:tcPr>
            <w:tcW w:w="6913" w:type="dxa"/>
            <w:tcBorders>
              <w:top w:val="single" w:sz="2" w:space="0" w:color="000000"/>
              <w:left w:val="single" w:sz="2" w:space="0" w:color="000000"/>
              <w:bottom w:val="double" w:sz="4" w:space="0" w:color="000000"/>
              <w:right w:val="single" w:sz="2" w:space="0" w:color="000000"/>
            </w:tcBorders>
            <w:vAlign w:val="bottom"/>
          </w:tcPr>
          <w:p>
            <w:pPr>
              <w:pStyle w:val="Normal"/>
              <w:widowControl w:val="false"/>
              <w:spacing w:before="0" w:after="0"/>
              <w:rPr>
                <w:rStyle w:val="Fnt0"/>
                <w:rFonts w:cs="Calibri" w:cstheme="minorHAnsi"/>
              </w:rPr>
            </w:pPr>
            <w:r>
              <w:rPr>
                <w:rFonts w:cs="Calibri"/>
                <w:color w:val="000000"/>
              </w:rPr>
              <w:t>Software for Part 1 is adequately commented. Part 2 does not have to be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rPr>
            </w:pPr>
            <w:r>
              <w:rPr>
                <w:rFonts w:cs="Calibri" w:cstheme="minorHAnsi" w:ascii="Calibri" w:hAnsi="Calibri"/>
              </w:rPr>
            </w:r>
          </w:p>
        </w:tc>
      </w:tr>
    </w:tbl>
    <w:p>
      <w:pPr>
        <w:pStyle w:val="Heading1"/>
        <w:rPr>
          <w:rFonts w:ascii="Calibri" w:hAnsi="Calibri" w:cs="Calibri" w:asciiTheme="minorHAnsi" w:cstheme="minorHAnsi" w:hAnsiTheme="minorHAnsi"/>
        </w:rPr>
      </w:pPr>
      <w:r>
        <w:rPr>
          <w:rFonts w:cs="Calibri" w:cstheme="minorHAnsi" w:ascii="Calibri" w:hAnsi="Calibri"/>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bookmarkStart w:id="1"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2" w:name="_Hlk109987811"/>
            <w:r>
              <w:rPr>
                <w:rFonts w:cs="Calibri" w:cstheme="minorHAnsi"/>
              </w:rPr>
              <w:t>Prologue comments are missing all together or there are no comments on major blocks of code or there are very few comments on each line.</w:t>
            </w:r>
            <w:bookmarkEnd w:id="2"/>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658 Assignment 1)</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 versions of Python &amp; create ML “Hello World!” program</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versions of Python, scipy, numpy, pandas, and sklearn</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“Hello World!”</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overall accuracy of the classifier.</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confusion matrix.</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P, R, and F1 score for each of the 3 varieties of iris.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Normal"/>
        <w:rPr>
          <w:lang w:eastAsia="zh-CN" w:bidi="hi-IN"/>
        </w:rPr>
      </w:pPr>
      <w:r>
        <w:rPr>
          <w:lang w:eastAsia="zh-CN" w:bidi="hi-IN"/>
        </w:rPr>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b406d1"/>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LibreOffice/7.3.7.2$Linux_X86_64 LibreOffice_project/30$Build-2</Application>
  <AppVersion>15.0000</AppVersion>
  <Pages>7</Pages>
  <Words>725</Words>
  <Characters>3435</Characters>
  <CharactersWithSpaces>4046</CharactersWithSpaces>
  <Paragraphs>96</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2022-09-10T19:17:00Z</dcterms:created>
  <dc:creator>Johnson, David Orville</dc:creator>
  <dc:description/>
  <dc:language>en-US</dc:language>
  <cp:lastModifiedBy/>
  <dcterms:modified xsi:type="dcterms:W3CDTF">2024-09-28T22:50:03Z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