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9286" w14:textId="77777777" w:rsidR="00B40DFB" w:rsidRPr="00B40DFB" w:rsidRDefault="00B40DFB" w:rsidP="00B40DFB">
      <w:pPr>
        <w:rPr>
          <w:rFonts w:ascii="Times New Roman" w:hAnsi="Times New Roman" w:cs="Times New Roman"/>
        </w:rPr>
      </w:pPr>
    </w:p>
    <w:p w14:paraId="04B3FBF8" w14:textId="3F2EF59F" w:rsidR="00B40DFB" w:rsidRPr="00B40DFB" w:rsidRDefault="00B40DFB" w:rsidP="00B40DFB">
      <w:pPr>
        <w:rPr>
          <w:rFonts w:ascii="Times New Roman" w:hAnsi="Times New Roman" w:cs="Times New Roman"/>
          <w:b/>
          <w:bCs/>
        </w:rPr>
      </w:pPr>
      <w:r w:rsidRPr="00B40DFB">
        <w:rPr>
          <w:rFonts w:ascii="Times New Roman" w:hAnsi="Times New Roman" w:cs="Times New Roman"/>
        </w:rPr>
        <w:t xml:space="preserve">                              </w:t>
      </w:r>
      <w:r w:rsidRPr="00B40DFB">
        <w:rPr>
          <w:rFonts w:ascii="Times New Roman" w:hAnsi="Times New Roman" w:cs="Times New Roman"/>
          <w:b/>
          <w:bCs/>
        </w:rPr>
        <w:t>PRO RATA RIGHTS AGREEMENT {{COMPANY_NAME}}</w:t>
      </w:r>
    </w:p>
    <w:p w14:paraId="07D6120B" w14:textId="77777777" w:rsidR="00B40DFB" w:rsidRPr="00B40DFB" w:rsidRDefault="00B40DFB" w:rsidP="00B40DFB">
      <w:pPr>
        <w:rPr>
          <w:rFonts w:ascii="Times New Roman" w:hAnsi="Times New Roman" w:cs="Times New Roman"/>
        </w:rPr>
      </w:pPr>
    </w:p>
    <w:p w14:paraId="3A7EE545" w14:textId="4B116FBB" w:rsidR="00B40DFB" w:rsidRPr="00B40DFB" w:rsidRDefault="00B40DFB" w:rsidP="00B40DFB">
      <w:pPr>
        <w:rPr>
          <w:rFonts w:ascii="Times New Roman" w:hAnsi="Times New Roman" w:cs="Times New Roman"/>
        </w:rPr>
      </w:pPr>
      <w:r w:rsidRPr="00B40DFB">
        <w:rPr>
          <w:rFonts w:ascii="Times New Roman" w:hAnsi="Times New Roman" w:cs="Times New Roman"/>
        </w:rPr>
        <w:t>This Pro Rata Rights Agreement (this “Agreement”) is entered into as of {{DATE}}, by and between {{COMPANY_NAME}}, a {{STATE_OF_INCORPORATION}} corporation (the “Company”), and {{INVESTOR_OR_FIRM}} (the “Investor”), in connection with the Investor’s purchase of a convertible promissory note issued by the Company on or about the date hereof (the “Note”).</w:t>
      </w:r>
    </w:p>
    <w:p w14:paraId="312E6787" w14:textId="77777777" w:rsidR="00B40DFB" w:rsidRPr="00B40DFB" w:rsidRDefault="00B40DFB" w:rsidP="00B40DFB">
      <w:pPr>
        <w:rPr>
          <w:rFonts w:ascii="Times New Roman" w:hAnsi="Times New Roman" w:cs="Times New Roman"/>
        </w:rPr>
      </w:pPr>
    </w:p>
    <w:p w14:paraId="5C466941" w14:textId="6CE6F55C"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1. Pro Rata Right.  </w:t>
      </w:r>
    </w:p>
    <w:p w14:paraId="1440B9D5"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Subject to the terms of this Agreement, the Investor shall have the right (the “Pro Rata Right”), but not the obligation, to purchase up to its pro rata share of the equity securities sold in the Company’s next bona fide equity financing (the “Equity Financing”). For purposes of this Agreement, “pro rata share” means the ratio of (x) the number of shares of the Company’s capital stock issuable upon conversion of all Notes held by the Investor to (y) the Company’s fully diluted capitalization immediately prior to the initial closing of the Equity Financing (excluding shares issuable upon conversion of Notes and other convertible securities being converted in such financing).  </w:t>
      </w:r>
    </w:p>
    <w:p w14:paraId="1225E458" w14:textId="77777777" w:rsidR="00B40DFB" w:rsidRPr="00B40DFB" w:rsidRDefault="00B40DFB" w:rsidP="00B40DFB">
      <w:pPr>
        <w:rPr>
          <w:rFonts w:ascii="Times New Roman" w:hAnsi="Times New Roman" w:cs="Times New Roman"/>
        </w:rPr>
      </w:pPr>
    </w:p>
    <w:p w14:paraId="52B5ADC7" w14:textId="7010569B"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2. Exercise.  </w:t>
      </w:r>
    </w:p>
    <w:p w14:paraId="1ED892C5"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The Pro Rata Right shall be exercised by delivery of a written notice to the Company within ten (10) business days after receipt of the Company’s written notice of the terms of the Equity Financing. Failure to deliver timely notice shall be deemed a waiver of the Pro Rata Right with respect to that financing only.  </w:t>
      </w:r>
    </w:p>
    <w:p w14:paraId="7583637C" w14:textId="77777777" w:rsidR="00B40DFB" w:rsidRPr="00B40DFB" w:rsidRDefault="00B40DFB" w:rsidP="00B40DFB">
      <w:pPr>
        <w:rPr>
          <w:rFonts w:ascii="Times New Roman" w:hAnsi="Times New Roman" w:cs="Times New Roman"/>
        </w:rPr>
      </w:pPr>
    </w:p>
    <w:p w14:paraId="4C8C76AB" w14:textId="36D5C7CB"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3. Termination.  </w:t>
      </w:r>
    </w:p>
    <w:p w14:paraId="43B16A3E"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The Pro Rata Right shall automatically terminate upon the earliest to occur of: (</w:t>
      </w:r>
      <w:proofErr w:type="spellStart"/>
      <w:r w:rsidRPr="00B40DFB">
        <w:rPr>
          <w:rFonts w:ascii="Times New Roman" w:hAnsi="Times New Roman" w:cs="Times New Roman"/>
        </w:rPr>
        <w:t>i</w:t>
      </w:r>
      <w:proofErr w:type="spellEnd"/>
      <w:r w:rsidRPr="00B40DFB">
        <w:rPr>
          <w:rFonts w:ascii="Times New Roman" w:hAnsi="Times New Roman" w:cs="Times New Roman"/>
        </w:rPr>
        <w:t xml:space="preserve">) the initial closing of the Equity Financing; (ii) immediately prior to a Liquidity Event (as defined in the Note); or (iii) immediately prior to a Dissolution Event (as defined in the Note).  </w:t>
      </w:r>
    </w:p>
    <w:p w14:paraId="0845AA7D" w14:textId="77777777" w:rsidR="00B40DFB" w:rsidRPr="00B40DFB" w:rsidRDefault="00B40DFB" w:rsidP="00B40DFB">
      <w:pPr>
        <w:rPr>
          <w:rFonts w:ascii="Times New Roman" w:hAnsi="Times New Roman" w:cs="Times New Roman"/>
        </w:rPr>
      </w:pPr>
    </w:p>
    <w:p w14:paraId="73AA2857" w14:textId="5D1BC9CF" w:rsidR="00B40DFB" w:rsidRPr="00B40DFB" w:rsidRDefault="00B40DFB" w:rsidP="00B40DFB">
      <w:pPr>
        <w:rPr>
          <w:rFonts w:ascii="Times New Roman" w:hAnsi="Times New Roman" w:cs="Times New Roman"/>
        </w:rPr>
      </w:pPr>
      <w:r w:rsidRPr="00B40DFB">
        <w:rPr>
          <w:rFonts w:ascii="Times New Roman" w:hAnsi="Times New Roman" w:cs="Times New Roman"/>
        </w:rPr>
        <w:t xml:space="preserve">4. Miscellaneous.  </w:t>
      </w:r>
    </w:p>
    <w:p w14:paraId="61DA94E1"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This Agreement may be amended, waived, or modified only with the written consent of the Company and either (</w:t>
      </w:r>
      <w:proofErr w:type="spellStart"/>
      <w:r w:rsidRPr="00B40DFB">
        <w:rPr>
          <w:rFonts w:ascii="Times New Roman" w:hAnsi="Times New Roman" w:cs="Times New Roman"/>
        </w:rPr>
        <w:t>i</w:t>
      </w:r>
      <w:proofErr w:type="spellEnd"/>
      <w:r w:rsidRPr="00B40DFB">
        <w:rPr>
          <w:rFonts w:ascii="Times New Roman" w:hAnsi="Times New Roman" w:cs="Times New Roman"/>
        </w:rPr>
        <w:t xml:space="preserve">) holders of a majority of the shares of capital stock issuable upon conversion of all Notes subject to agreements substantially similar to this Agreement, or (ii) the Investor. This Agreement shall be binding upon and inure to the benefit of the parties hereto and their respective permitted successors and </w:t>
      </w:r>
      <w:r w:rsidRPr="00B40DFB">
        <w:rPr>
          <w:rFonts w:ascii="Times New Roman" w:hAnsi="Times New Roman" w:cs="Times New Roman"/>
        </w:rPr>
        <w:lastRenderedPageBreak/>
        <w:t>assigns. This Agreement shall be governed by the laws of the State of Delaware, without regard to conflict of laws principles.</w:t>
      </w:r>
    </w:p>
    <w:p w14:paraId="198E5E92" w14:textId="77777777" w:rsidR="00B40DFB" w:rsidRPr="00B40DFB" w:rsidRDefault="00B40DFB" w:rsidP="00B40DFB">
      <w:pPr>
        <w:rPr>
          <w:rFonts w:ascii="Times New Roman" w:hAnsi="Times New Roman" w:cs="Times New Roman"/>
        </w:rPr>
      </w:pPr>
    </w:p>
    <w:p w14:paraId="05CED0EC"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IN WITNESS WHEREOF, the parties have executed this Agreement as of the date first written above.</w:t>
      </w:r>
    </w:p>
    <w:p w14:paraId="6A31A4F4" w14:textId="77777777" w:rsidR="00B40DFB" w:rsidRPr="00B40DFB" w:rsidRDefault="00B40DFB" w:rsidP="00B40DFB">
      <w:pPr>
        <w:rPr>
          <w:rFonts w:ascii="Times New Roman" w:hAnsi="Times New Roman" w:cs="Times New Roman"/>
        </w:rPr>
      </w:pPr>
    </w:p>
    <w:p w14:paraId="53E245F6" w14:textId="77777777" w:rsidR="00B40DFB" w:rsidRPr="00B40DFB" w:rsidRDefault="00B40DFB" w:rsidP="00B40DFB">
      <w:pPr>
        <w:rPr>
          <w:rFonts w:ascii="Times New Roman" w:hAnsi="Times New Roman" w:cs="Times New Roman"/>
        </w:rPr>
      </w:pPr>
      <w:r w:rsidRPr="00B40DFB">
        <w:rPr>
          <w:rFonts w:ascii="Times New Roman" w:hAnsi="Times New Roman" w:cs="Times New Roman"/>
        </w:rPr>
        <w:t>COMPANY: {{COMPANY_NAME}}</w:t>
      </w:r>
      <w:r w:rsidRPr="00B40DFB">
        <w:rPr>
          <w:rFonts w:ascii="Times New Roman" w:hAnsi="Times New Roman" w:cs="Times New Roma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3316"/>
      </w:tblGrid>
      <w:tr w:rsidR="00B40DFB" w:rsidRPr="00B40DFB" w14:paraId="1ACD4A7F" w14:textId="77777777" w:rsidTr="00270B93">
        <w:trPr>
          <w:trHeight w:val="343"/>
        </w:trPr>
        <w:tc>
          <w:tcPr>
            <w:tcW w:w="1188" w:type="dxa"/>
          </w:tcPr>
          <w:p w14:paraId="2AA2D698"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By:</w:t>
            </w:r>
          </w:p>
        </w:tc>
        <w:tc>
          <w:tcPr>
            <w:tcW w:w="3316" w:type="dxa"/>
            <w:tcBorders>
              <w:bottom w:val="single" w:sz="4" w:space="0" w:color="auto"/>
            </w:tcBorders>
          </w:tcPr>
          <w:p w14:paraId="440F5218"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{{SIGNATORY_SIGN}}</w:t>
            </w:r>
          </w:p>
        </w:tc>
      </w:tr>
      <w:tr w:rsidR="00B40DFB" w:rsidRPr="00B40DFB" w14:paraId="36CE681C" w14:textId="77777777" w:rsidTr="00270B93">
        <w:trPr>
          <w:trHeight w:val="355"/>
        </w:trPr>
        <w:tc>
          <w:tcPr>
            <w:tcW w:w="1188" w:type="dxa"/>
          </w:tcPr>
          <w:p w14:paraId="50AFB391"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Name:</w:t>
            </w:r>
          </w:p>
        </w:tc>
        <w:tc>
          <w:tcPr>
            <w:tcW w:w="3316" w:type="dxa"/>
            <w:tcBorders>
              <w:top w:val="single" w:sz="4" w:space="0" w:color="auto"/>
              <w:bottom w:val="single" w:sz="4" w:space="0" w:color="auto"/>
            </w:tcBorders>
          </w:tcPr>
          <w:p w14:paraId="7F889BD0"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{{SIGNATORY_NAME}}</w:t>
            </w:r>
          </w:p>
        </w:tc>
      </w:tr>
      <w:tr w:rsidR="00B40DFB" w:rsidRPr="00B40DFB" w14:paraId="3EFD92B9" w14:textId="77777777" w:rsidTr="00270B93">
        <w:trPr>
          <w:trHeight w:val="343"/>
        </w:trPr>
        <w:tc>
          <w:tcPr>
            <w:tcW w:w="1188" w:type="dxa"/>
          </w:tcPr>
          <w:p w14:paraId="277CC33B"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Title:</w:t>
            </w:r>
          </w:p>
        </w:tc>
        <w:tc>
          <w:tcPr>
            <w:tcW w:w="3316" w:type="dxa"/>
            <w:tcBorders>
              <w:top w:val="single" w:sz="4" w:space="0" w:color="auto"/>
              <w:bottom w:val="single" w:sz="4" w:space="0" w:color="auto"/>
            </w:tcBorders>
          </w:tcPr>
          <w:p w14:paraId="785A65BA"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{{SIGNATORY_TITLE}}</w:t>
            </w:r>
          </w:p>
        </w:tc>
      </w:tr>
      <w:tr w:rsidR="00B40DFB" w:rsidRPr="00B40DFB" w14:paraId="09744EA2" w14:textId="77777777" w:rsidTr="00270B93">
        <w:trPr>
          <w:trHeight w:val="355"/>
        </w:trPr>
        <w:tc>
          <w:tcPr>
            <w:tcW w:w="1188" w:type="dxa"/>
          </w:tcPr>
          <w:p w14:paraId="20F28A51"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Address:</w:t>
            </w:r>
          </w:p>
        </w:tc>
        <w:tc>
          <w:tcPr>
            <w:tcW w:w="3316" w:type="dxa"/>
            <w:tcBorders>
              <w:top w:val="single" w:sz="4" w:space="0" w:color="auto"/>
              <w:bottom w:val="single" w:sz="4" w:space="0" w:color="auto"/>
            </w:tcBorders>
          </w:tcPr>
          <w:p w14:paraId="13B1075E"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{{SIGNATORY_ADDRESS}}</w:t>
            </w:r>
          </w:p>
        </w:tc>
      </w:tr>
    </w:tbl>
    <w:p w14:paraId="4DF95A24" w14:textId="77777777" w:rsidR="00B40DFB" w:rsidRPr="00B40DFB" w:rsidRDefault="00B40DFB" w:rsidP="00B40DFB">
      <w:pPr>
        <w:rPr>
          <w:rFonts w:ascii="Times New Roman" w:hAnsi="Times New Roman" w:cs="Times New Roman"/>
        </w:rPr>
      </w:pPr>
    </w:p>
    <w:p w14:paraId="7204073E" w14:textId="08BDDE86" w:rsidR="00B40DFB" w:rsidRPr="00B40DFB" w:rsidRDefault="00B40DFB" w:rsidP="00B40DFB">
      <w:pPr>
        <w:rPr>
          <w:rFonts w:ascii="Times New Roman" w:hAnsi="Times New Roman" w:cs="Times New Roman"/>
        </w:rPr>
      </w:pPr>
      <w:r w:rsidRPr="00B40DFB">
        <w:rPr>
          <w:rFonts w:ascii="Times New Roman" w:hAnsi="Times New Roman" w:cs="Times New Roman"/>
        </w:rPr>
        <w:br/>
        <w:t>PURCHASER: {{INVESTOR_OR_FIRM}}</w:t>
      </w:r>
      <w:r w:rsidRPr="00B40DFB">
        <w:rPr>
          <w:rFonts w:ascii="Times New Roman" w:hAnsi="Times New Roman" w:cs="Times New Roma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3482"/>
      </w:tblGrid>
      <w:tr w:rsidR="00B40DFB" w:rsidRPr="00B40DFB" w14:paraId="10FEE49E" w14:textId="77777777" w:rsidTr="00270B93">
        <w:trPr>
          <w:trHeight w:val="351"/>
        </w:trPr>
        <w:tc>
          <w:tcPr>
            <w:tcW w:w="1070" w:type="dxa"/>
          </w:tcPr>
          <w:p w14:paraId="1F96D282"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By:</w:t>
            </w:r>
          </w:p>
        </w:tc>
        <w:tc>
          <w:tcPr>
            <w:tcW w:w="3482" w:type="dxa"/>
            <w:tcBorders>
              <w:bottom w:val="single" w:sz="4" w:space="0" w:color="auto"/>
            </w:tcBorders>
          </w:tcPr>
          <w:p w14:paraId="781677CD"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{{INVESTOR_SIGNATORY}}</w:t>
            </w:r>
          </w:p>
        </w:tc>
      </w:tr>
      <w:tr w:rsidR="00B40DFB" w:rsidRPr="00B40DFB" w14:paraId="12C00102" w14:textId="77777777" w:rsidTr="00270B93">
        <w:trPr>
          <w:trHeight w:val="351"/>
        </w:trPr>
        <w:tc>
          <w:tcPr>
            <w:tcW w:w="1070" w:type="dxa"/>
          </w:tcPr>
          <w:p w14:paraId="1D953FAB"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Name:</w:t>
            </w:r>
          </w:p>
        </w:tc>
        <w:tc>
          <w:tcPr>
            <w:tcW w:w="3482" w:type="dxa"/>
            <w:tcBorders>
              <w:bottom w:val="single" w:sz="4" w:space="0" w:color="auto"/>
            </w:tcBorders>
          </w:tcPr>
          <w:p w14:paraId="01B8346E"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{{I_SIGNATORY_NAME}}</w:t>
            </w:r>
          </w:p>
        </w:tc>
      </w:tr>
      <w:tr w:rsidR="00B40DFB" w:rsidRPr="00B40DFB" w14:paraId="608A835A" w14:textId="77777777" w:rsidTr="00270B93">
        <w:trPr>
          <w:trHeight w:val="351"/>
        </w:trPr>
        <w:tc>
          <w:tcPr>
            <w:tcW w:w="1070" w:type="dxa"/>
          </w:tcPr>
          <w:p w14:paraId="6AF3612C"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Title:</w:t>
            </w:r>
          </w:p>
        </w:tc>
        <w:tc>
          <w:tcPr>
            <w:tcW w:w="3482" w:type="dxa"/>
            <w:tcBorders>
              <w:top w:val="single" w:sz="4" w:space="0" w:color="auto"/>
              <w:bottom w:val="single" w:sz="4" w:space="0" w:color="auto"/>
            </w:tcBorders>
          </w:tcPr>
          <w:p w14:paraId="15E3D5B7"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{{I_SIGNATORY_TITLE}}</w:t>
            </w:r>
          </w:p>
        </w:tc>
      </w:tr>
      <w:tr w:rsidR="00B40DFB" w:rsidRPr="00B40DFB" w14:paraId="1D1A2EE0" w14:textId="77777777" w:rsidTr="00270B93">
        <w:trPr>
          <w:trHeight w:val="363"/>
        </w:trPr>
        <w:tc>
          <w:tcPr>
            <w:tcW w:w="1070" w:type="dxa"/>
          </w:tcPr>
          <w:p w14:paraId="3CDE048A"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Address:</w:t>
            </w:r>
          </w:p>
        </w:tc>
        <w:tc>
          <w:tcPr>
            <w:tcW w:w="3482" w:type="dxa"/>
            <w:tcBorders>
              <w:top w:val="single" w:sz="4" w:space="0" w:color="auto"/>
              <w:bottom w:val="single" w:sz="4" w:space="0" w:color="auto"/>
            </w:tcBorders>
          </w:tcPr>
          <w:p w14:paraId="2C60EABD" w14:textId="77777777" w:rsidR="00B40DFB" w:rsidRPr="00B40DFB" w:rsidRDefault="00B40DFB" w:rsidP="00270B93">
            <w:pPr>
              <w:rPr>
                <w:rFonts w:ascii="Times New Roman" w:hAnsi="Times New Roman" w:cs="Times New Roman"/>
              </w:rPr>
            </w:pPr>
            <w:r w:rsidRPr="00B40DFB">
              <w:rPr>
                <w:rFonts w:ascii="Times New Roman" w:hAnsi="Times New Roman" w:cs="Times New Roman"/>
              </w:rPr>
              <w:t>{{I_SIGNATORY_ADDRESS}}</w:t>
            </w:r>
          </w:p>
        </w:tc>
      </w:tr>
    </w:tbl>
    <w:p w14:paraId="6AEE26D1" w14:textId="0E19F739" w:rsidR="000C74A8" w:rsidRPr="00B40DFB" w:rsidRDefault="00B40DFB" w:rsidP="00B40DFB">
      <w:pPr>
        <w:rPr>
          <w:rFonts w:ascii="Times New Roman" w:hAnsi="Times New Roman" w:cs="Times New Roman"/>
        </w:rPr>
      </w:pPr>
      <w:r w:rsidRPr="00B40DFB">
        <w:rPr>
          <w:rFonts w:ascii="Times New Roman" w:hAnsi="Times New Roman" w:cs="Times New Roman"/>
        </w:rPr>
        <w:t xml:space="preserve"> </w:t>
      </w:r>
    </w:p>
    <w:sectPr w:rsidR="000C74A8" w:rsidRPr="00B40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FB"/>
    <w:rsid w:val="000C74A8"/>
    <w:rsid w:val="00315704"/>
    <w:rsid w:val="008C2A9B"/>
    <w:rsid w:val="00915AC6"/>
    <w:rsid w:val="00AD492F"/>
    <w:rsid w:val="00B40DFB"/>
    <w:rsid w:val="00CD63CF"/>
    <w:rsid w:val="00EF575D"/>
    <w:rsid w:val="00F40EBF"/>
    <w:rsid w:val="00F9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C059"/>
  <w15:chartTrackingRefBased/>
  <w15:docId w15:val="{FAB835FC-E33D-4EBA-84E0-51F3890B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DFB"/>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CD63CF"/>
    <w:pPr>
      <w:keepNext/>
      <w:keepLines/>
      <w:spacing w:before="360" w:after="80" w:line="259" w:lineRule="auto"/>
      <w:outlineLvl w:val="0"/>
    </w:pPr>
    <w:rPr>
      <w:rFonts w:asciiTheme="majorHAnsi" w:eastAsiaTheme="majorEastAsia" w:hAnsiTheme="majorHAnsi" w:cstheme="majorBidi"/>
      <w:color w:val="B3186D"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63CF"/>
    <w:pPr>
      <w:keepNext/>
      <w:keepLines/>
      <w:spacing w:before="160" w:after="80" w:line="259" w:lineRule="auto"/>
      <w:outlineLvl w:val="1"/>
    </w:pPr>
    <w:rPr>
      <w:rFonts w:asciiTheme="majorHAnsi" w:eastAsiaTheme="majorEastAsia" w:hAnsiTheme="majorHAnsi" w:cstheme="majorBidi"/>
      <w:color w:val="B3186D"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63CF"/>
    <w:pPr>
      <w:keepNext/>
      <w:keepLines/>
      <w:spacing w:before="160" w:after="80" w:line="259" w:lineRule="auto"/>
      <w:outlineLvl w:val="2"/>
    </w:pPr>
    <w:rPr>
      <w:rFonts w:eastAsiaTheme="majorEastAsia" w:cstheme="majorBidi"/>
      <w:color w:val="B3186D"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63CF"/>
    <w:pPr>
      <w:keepNext/>
      <w:keepLines/>
      <w:spacing w:before="80" w:after="40" w:line="259" w:lineRule="auto"/>
      <w:outlineLvl w:val="3"/>
    </w:pPr>
    <w:rPr>
      <w:rFonts w:eastAsiaTheme="majorEastAsia" w:cstheme="majorBidi"/>
      <w:i/>
      <w:iCs/>
      <w:color w:val="B3186D"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D63CF"/>
    <w:pPr>
      <w:keepNext/>
      <w:keepLines/>
      <w:spacing w:before="80" w:after="40" w:line="259" w:lineRule="auto"/>
      <w:outlineLvl w:val="4"/>
    </w:pPr>
    <w:rPr>
      <w:rFonts w:eastAsiaTheme="majorEastAsia" w:cstheme="majorBidi"/>
      <w:color w:val="B3186D"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D63CF"/>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D63CF"/>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D63CF"/>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D63CF"/>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CF"/>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CD63CF"/>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D63C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D63C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CD63C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CD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CF"/>
    <w:rPr>
      <w:rFonts w:eastAsiaTheme="majorEastAsia" w:cstheme="majorBidi"/>
      <w:color w:val="272727" w:themeColor="text1" w:themeTint="D8"/>
    </w:rPr>
  </w:style>
  <w:style w:type="paragraph" w:styleId="Title">
    <w:name w:val="Title"/>
    <w:basedOn w:val="Normal"/>
    <w:next w:val="Normal"/>
    <w:link w:val="TitleChar"/>
    <w:uiPriority w:val="10"/>
    <w:qFormat/>
    <w:rsid w:val="00CD63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CF"/>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63C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D63CF"/>
    <w:pPr>
      <w:spacing w:after="160" w:line="259" w:lineRule="auto"/>
      <w:ind w:left="720"/>
      <w:contextualSpacing/>
    </w:pPr>
    <w:rPr>
      <w:rFonts w:eastAsiaTheme="minorHAnsi"/>
      <w:kern w:val="2"/>
      <w14:ligatures w14:val="standardContextual"/>
    </w:rPr>
  </w:style>
  <w:style w:type="paragraph" w:styleId="Quote">
    <w:name w:val="Quote"/>
    <w:basedOn w:val="Normal"/>
    <w:next w:val="Normal"/>
    <w:link w:val="QuoteChar"/>
    <w:uiPriority w:val="29"/>
    <w:qFormat/>
    <w:rsid w:val="00CD63CF"/>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CD63CF"/>
    <w:rPr>
      <w:i/>
      <w:iCs/>
      <w:color w:val="404040" w:themeColor="text1" w:themeTint="BF"/>
    </w:rPr>
  </w:style>
  <w:style w:type="paragraph" w:styleId="IntenseQuote">
    <w:name w:val="Intense Quote"/>
    <w:basedOn w:val="Normal"/>
    <w:next w:val="Normal"/>
    <w:link w:val="IntenseQuoteChar"/>
    <w:uiPriority w:val="30"/>
    <w:qFormat/>
    <w:rsid w:val="00CD63CF"/>
    <w:pPr>
      <w:pBdr>
        <w:top w:val="single" w:sz="4" w:space="10" w:color="B3186D" w:themeColor="accent1" w:themeShade="BF"/>
        <w:bottom w:val="single" w:sz="4" w:space="10" w:color="B3186D" w:themeColor="accent1" w:themeShade="BF"/>
      </w:pBdr>
      <w:spacing w:before="360" w:after="360" w:line="259" w:lineRule="auto"/>
      <w:ind w:left="864" w:right="864"/>
      <w:jc w:val="center"/>
    </w:pPr>
    <w:rPr>
      <w:rFonts w:eastAsiaTheme="minorHAnsi"/>
      <w:i/>
      <w:iCs/>
      <w:color w:val="B3186D" w:themeColor="accent1" w:themeShade="BF"/>
      <w:kern w:val="2"/>
      <w14:ligatures w14:val="standardContextual"/>
    </w:rPr>
  </w:style>
  <w:style w:type="character" w:customStyle="1" w:styleId="IntenseQuoteChar">
    <w:name w:val="Intense Quote Char"/>
    <w:basedOn w:val="DefaultParagraphFont"/>
    <w:link w:val="IntenseQuote"/>
    <w:uiPriority w:val="30"/>
    <w:rsid w:val="00CD63CF"/>
    <w:rPr>
      <w:i/>
      <w:iCs/>
      <w:color w:val="B3186D" w:themeColor="accent1" w:themeShade="BF"/>
    </w:rPr>
  </w:style>
  <w:style w:type="character" w:styleId="IntenseEmphasis">
    <w:name w:val="Intense Emphasis"/>
    <w:basedOn w:val="DefaultParagraphFont"/>
    <w:uiPriority w:val="21"/>
    <w:qFormat/>
    <w:rsid w:val="00CD63CF"/>
    <w:rPr>
      <w:i/>
      <w:iCs/>
      <w:color w:val="B3186D" w:themeColor="accent1" w:themeShade="BF"/>
    </w:rPr>
  </w:style>
  <w:style w:type="character" w:styleId="IntenseReference">
    <w:name w:val="Intense Reference"/>
    <w:basedOn w:val="DefaultParagraphFont"/>
    <w:uiPriority w:val="32"/>
    <w:qFormat/>
    <w:rsid w:val="00CD63CF"/>
    <w:rPr>
      <w:b/>
      <w:bCs/>
      <w:smallCaps/>
      <w:color w:val="B3186D" w:themeColor="accent1" w:themeShade="BF"/>
      <w:spacing w:val="5"/>
    </w:rPr>
  </w:style>
  <w:style w:type="table" w:styleId="TableGrid">
    <w:name w:val="Table Grid"/>
    <w:basedOn w:val="TableNormal"/>
    <w:uiPriority w:val="59"/>
    <w:rsid w:val="00B40DF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Mahaseth</dc:creator>
  <cp:keywords/>
  <dc:description/>
  <cp:lastModifiedBy>nobita nobi</cp:lastModifiedBy>
  <cp:revision>3</cp:revision>
  <dcterms:created xsi:type="dcterms:W3CDTF">2025-08-19T09:31:00Z</dcterms:created>
  <dcterms:modified xsi:type="dcterms:W3CDTF">2025-09-08T05:40:00Z</dcterms:modified>
</cp:coreProperties>
</file>