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</w:r>
      <w:r>
        <w:rPr>
          <w:color w:val="1F4E79"/>
        </w:rPr>
        <w:t>AirWatch India — Architecture</w:t>
      </w:r>
    </w:p>
    <w:p>
      <w:r>
        <w:t xml:space="preserve">Diagrams render natively on GitHub. The module graph below is extracted from the actual imports in </w:t>
      </w:r>
      <w:r>
        <w:rPr>
          <w:rFonts w:ascii="Consolas" w:hAnsi="Consolas"/>
          <w:color w:val="A03030"/>
          <w:sz w:val="19"/>
        </w:rPr>
        <w:t>backend/</w:t>
      </w:r>
      <w:r>
        <w:t>, not drawn from memory.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</w:r>
      <w:r>
        <w:rPr>
          <w:color w:val="1F4E79"/>
        </w:rPr>
        <w:t>1. System context</w:t>
      </w:r>
    </w:p>
    <w:p>
      <w:r>
        <w:t>Where data comes from, what the platform does with it, who consumes the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9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9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</w:r>
      <w:r>
        <w:rPr>
          <w:color w:val="1F4E79"/>
        </w:rPr>
        <w:t>2. The enforcement chain</w:t>
      </w:r>
    </w:p>
    <w:p>
      <w:r>
        <w:t xml:space="preserve">The core of the project. Note where the LLM sits: </w:t>
      </w:r>
      <w:r>
        <w:rPr>
          <w:b/>
        </w:rPr>
        <w:t>last</w:t>
      </w:r>
      <w:r>
        <w:t>, and only to narrate a shortlist it cannot alter.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602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</w:r>
      <w:r>
        <w:rPr>
          <w:color w:val="1F4E79"/>
        </w:rPr>
        <w:t>3. Module dependency graph</w:t>
      </w:r>
    </w:p>
    <w:p>
      <w:r>
        <w:t xml:space="preserve">Extracted from the </w:t>
      </w:r>
      <w:r>
        <w:rPr>
          <w:rFonts w:ascii="Consolas" w:hAnsi="Consolas"/>
          <w:color w:val="A03030"/>
          <w:sz w:val="19"/>
        </w:rPr>
        <w:t>import</w:t>
      </w:r>
      <w:r>
        <w:t xml:space="preserve"> statements in </w:t>
      </w:r>
      <w:r>
        <w:rPr>
          <w:rFonts w:ascii="Consolas" w:hAnsi="Consolas"/>
          <w:color w:val="A03030"/>
          <w:sz w:val="19"/>
        </w:rPr>
        <w:t>backend/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88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A03030"/>
          <w:sz w:val="19"/>
        </w:rPr>
        <w:t>utils/</w:t>
      </w:r>
      <w:r>
        <w:t xml:space="preserve"> has no dependency on </w:t>
      </w:r>
      <w:r>
        <w:rPr>
          <w:rFonts w:ascii="Consolas" w:hAnsi="Consolas"/>
          <w:color w:val="A03030"/>
          <w:sz w:val="19"/>
        </w:rPr>
        <w:t>services/</w:t>
      </w:r>
      <w:r>
        <w:t xml:space="preserve"> except </w:t>
      </w:r>
      <w:r>
        <w:rPr>
          <w:rFonts w:ascii="Consolas" w:hAnsi="Consolas"/>
          <w:color w:val="A03030"/>
          <w:sz w:val="19"/>
        </w:rPr>
        <w:t>impact_metrics</w:t>
      </w:r>
      <w:r>
        <w:t>, which needs the registry to compute a denominator. That keeps the scoring and dispersion logic free of I/O, which is why 162 tests run without network access or API keys.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</w:r>
      <w:r>
        <w:rPr>
          <w:color w:val="1F4E79"/>
        </w:rPr>
        <w:t>4. Evidence scoring pipeline</w:t>
      </w:r>
    </w:p>
    <w:p>
      <w:r>
        <w:t>What happens to a single candidate source.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335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35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</w:r>
      <w:r>
        <w:rPr>
          <w:color w:val="1F4E79"/>
        </w:rPr>
        <w:t>5. AQI scale conversion</w:t>
      </w:r>
    </w:p>
    <w:p>
      <w:r>
        <w:t>Why every reading passes through a conversion before use.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73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Live stations arrived on the EPA scale while static fallback cities sat on CPCB, and the </w:t>
      </w:r>
      <w:r>
        <w:rPr>
          <w:b/>
        </w:rPr>
        <w:t>hotspot ranking sorted both together</w:t>
      </w:r>
      <w:r>
        <w:t xml:space="preserve"> — so the top-5 feeding the entire enforcement chain was ranked on mixed units. Mid-range readings were distorted roughly 4×: an EPA index of 100 (truly "Satisfactory", 35.4 μg/m³) rendered as CPCB 234 "Poor".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</w:r>
      <w:r>
        <w:rPr>
          <w:color w:val="1F4E79"/>
        </w:rPr>
        <w:t>6.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65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  <w:pBdr>
          <w:left w:val="single" w:sz="18" w:space="8" w:color="F97316"/>
        </w:pBdr>
      </w:pPr>
      <w:r>
        <w:rPr>
          <w:i/>
        </w:rPr>
        <w:t xml:space="preserve">⚠️ Vercel builds from </w:t>
      </w:r>
      <w:r>
        <w:rPr>
          <w:rFonts w:ascii="Consolas" w:hAnsi="Consolas"/>
          <w:i/>
          <w:color w:val="A03030"/>
          <w:sz w:val="19"/>
        </w:rPr>
        <w:t>master</w:t>
      </w:r>
      <w:r>
        <w:rPr>
          <w:i/>
        </w:rPr>
        <w:t xml:space="preserve">. The enforcement work is on </w:t>
      </w:r>
      <w:r>
        <w:rPr>
          <w:rFonts w:ascii="Consolas" w:hAnsi="Consolas"/>
          <w:i/>
          <w:color w:val="A03030"/>
          <w:sz w:val="19"/>
        </w:rPr>
        <w:t>feature/enforcement-intelligence</w:t>
      </w:r>
      <w:r>
        <w:rPr>
          <w:i/>
        </w:rPr>
        <w:t xml:space="preserve"> — </w:t>
      </w:r>
      <w:r>
        <w:rPr>
          <w:b/>
          <w:i/>
        </w:rPr>
        <w:t>merge before demoing</w:t>
      </w:r>
      <w:r>
        <w:rPr>
          <w:i/>
        </w:rPr>
        <w:t>, or the live URL serves none of it.</w:t>
      </w:r>
    </w:p>
    <w:p>
      <w:r>
        <w:t>Per-process in-memory caches and the rate limiter do not survive serverless invocation boundaries. See [SCALABILITY.md](../SCALABILITY.md) for what that costs and what would replace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