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4"/>
        </w:rPr>
        <w:t>NSE Expiry Day Dynamics &amp; VWAP Settlement Anomalies</w:t>
      </w:r>
    </w:p>
    <w:p>
      <w:pPr>
        <w:jc w:val="center"/>
      </w:pPr>
      <w:r>
        <w:rPr>
          <w:rFonts w:ascii="Calibri" w:hAnsi="Calibri"/>
          <w:i/>
          <w:color w:val="4A5568"/>
          <w:sz w:val="28"/>
        </w:rPr>
        <w:t>Research Methodology Workflow, Processing Steps &amp; Complete Hypotheses (H1–H30)</w:t>
      </w:r>
    </w:p>
    <w:p/>
    <w:p>
      <w:pPr>
        <w:pStyle w:val="Heading1"/>
      </w:pPr>
      <w:r>
        <w:t>1. Methodology &amp; Rough Processing Steps (Pipeline Overview)</w:t>
      </w:r>
    </w:p>
    <w:p>
      <w:r>
        <w:t>This research examines the microstructure of 10 Nifty 50 stocks (5 liquid, 5 illiquid) and their corresponding futures contracts on the National Stock Exchange (NSE) during the final 30-minute settlement window (15:00–15:30 IST) across 12 Monthly Expiry Thursdays and 12 matched Control trading days in 2022. Below is the step-by-step processing workflow:</w:t>
      </w:r>
    </w:p>
    <w:p>
      <w:pPr>
        <w:pStyle w:val="Heading2"/>
      </w:pPr>
      <w:r>
        <w:t>Step 1: Sample Selection &amp; Experimental Design (10 Symbols x 24 Dates)</w:t>
      </w:r>
    </w:p>
    <w:p>
      <w:pPr>
        <w:pStyle w:val="ListBullet"/>
      </w:pPr>
      <w:r>
        <w:t>Target Asset Universe: Select 5 Liquid Nifty 50 stocks (RELIANCE, TCS, INFY, HDFCBANK, ICICIBANK) and 5 Illiquid Nifty 50 stocks (GRASIM, HEROMOTOCO, SHREEVECEM, UPL, TECHM).</w:t>
      </w:r>
    </w:p>
    <w:p>
      <w:pPr>
        <w:pStyle w:val="ListBullet"/>
      </w:pPr>
      <w:r>
        <w:t>Experimental Pairing: Match 12 Monthly Expiry Thursdays in 2022 against 12 Control Thursdays (typically 2 weeks prior to expiry) to isolate expiry-day effects from day-of-week seasonality.</w:t>
      </w:r>
    </w:p>
    <w:p>
      <w:pPr>
        <w:pStyle w:val="ListBullet"/>
      </w:pPr>
      <w:r>
        <w:t>Settlement Focus Window: Extract tick-by-tick cash market and derivatives market data during the NSE VWAP settlement window (15:00 to 15:30 IST).</w:t>
      </w:r>
    </w:p>
    <w:p>
      <w:pPr>
        <w:pStyle w:val="Heading2"/>
      </w:pPr>
      <w:r>
        <w:t>Step 2: High-Speed Binary Tick Data Parsing (Stage 1)</w:t>
      </w:r>
    </w:p>
    <w:p>
      <w:pPr>
        <w:pStyle w:val="ListBullet"/>
      </w:pPr>
      <w:r>
        <w:t>Input Data Format: Ingest fixed-width binary text files (.DAT.gz) from NSE for CASH_Orders, CASH_Trades, FAO_Orders, and FAO_Trades.</w:t>
      </w:r>
    </w:p>
    <w:p>
      <w:pPr>
        <w:pStyle w:val="ListBullet"/>
      </w:pPr>
      <w:r>
        <w:t>Predicate Pushdown: Filter raw strings on symbol substrings and instrument types ('EQ' for Cash, 'FUTSTK' for Futures) before extracting schema columns.</w:t>
      </w:r>
    </w:p>
    <w:p>
      <w:pPr>
        <w:pStyle w:val="ListBullet"/>
      </w:pPr>
      <w:r>
        <w:t>Column Extraction: Extract 17 standardized fields including Order/Trade numbers, timestamps (Jiffies), prices, volumes, client identity, and algo indicator flags, saving as partitioned Parquet.</w:t>
      </w:r>
    </w:p>
    <w:p>
      <w:pPr>
        <w:pStyle w:val="Heading2"/>
      </w:pPr>
      <w:r>
        <w:t>Step 3: Temporal &amp; Microstructure Enrichment (Stage 2)</w:t>
      </w:r>
    </w:p>
    <w:p>
      <w:pPr>
        <w:pStyle w:val="ListBullet"/>
      </w:pPr>
      <w:r>
        <w:t>Timestamp Normalization: Convert NSE Jiffies (1/65536th of a second since epoch) into standard Python/Spark timestamps and HH:mm:ss time buckets.</w:t>
      </w:r>
    </w:p>
    <w:p>
      <w:pPr>
        <w:pStyle w:val="ListBullet"/>
      </w:pPr>
      <w:r>
        <w:t>Currency &amp; Flag Mapping: Convert Paise to INR Rupees (/ 100.0), flag the 30-minute settlement window (15:00-15:30 IST), and identify Expiry vs. Control dates.</w:t>
      </w:r>
    </w:p>
    <w:p>
      <w:pPr>
        <w:pStyle w:val="ListBullet"/>
      </w:pPr>
      <w:r>
        <w:t>Participant &amp; Algo Tagging: Categorize Client Identity into Custodian (Institutional), Proprietary, and NCNP (Retail), and classify Algo Indicator flags into Algo vs. Non-Algo execution.</w:t>
      </w:r>
    </w:p>
    <w:p>
      <w:pPr>
        <w:pStyle w:val="ListBullet"/>
      </w:pPr>
      <w:r>
        <w:t>Dynamic Partitioning: Save enriched datasets partitioned by ['symbol', 'trade_date'] to enable instant single-symbol filter pushdown during downstream CLOB replay.</w:t>
      </w:r>
    </w:p>
    <w:p>
      <w:pPr>
        <w:pStyle w:val="Heading2"/>
      </w:pPr>
      <w:r>
        <w:t>Step 4: Trade-Level Microstructure Metrics Computation (Stage 3)</w:t>
      </w:r>
    </w:p>
    <w:p>
      <w:pPr>
        <w:pStyle w:val="ListBullet"/>
      </w:pPr>
      <w:r>
        <w:t>A1 (VWAP Trajectory): Compute cumulative and rolling 1-minute Volume-Weighted Average Price (VWAP) trajectories across 15:00-15:30 IST.</w:t>
      </w:r>
    </w:p>
    <w:p>
      <w:pPr>
        <w:pStyle w:val="ListBullet"/>
      </w:pPr>
      <w:r>
        <w:t>A2 (Basis Divergence): Compute intraday Futures-Cash basis spread and Basis Volatility (standard deviation of basis).</w:t>
      </w:r>
    </w:p>
    <w:p>
      <w:pPr>
        <w:pStyle w:val="ListBullet"/>
      </w:pPr>
      <w:r>
        <w:t>A3-A7 (Participant &amp; Algo Profiling): Quantify Prop/Custodian trade shares, Algo volume contribution, Immediate-Or-Cancel (IOC) aggressiveness, cancellation-to-trade ratios, and iceberg hidden order volume.</w:t>
      </w:r>
    </w:p>
    <w:p>
      <w:pPr>
        <w:pStyle w:val="Heading2"/>
      </w:pPr>
      <w:r>
        <w:t>Step 5: High-Performance Limit Order Book (CLOB) Reconstruction (Stage 4)</w:t>
      </w:r>
    </w:p>
    <w:p>
      <w:pPr>
        <w:pStyle w:val="ListBullet"/>
      </w:pPr>
      <w:r>
        <w:t>Chronological Event Merging: Merge order entry/modify/cancel events with trade execution events into a unified chronological stream.</w:t>
      </w:r>
    </w:p>
    <w:p>
      <w:pPr>
        <w:pStyle w:val="ListBullet"/>
      </w:pPr>
      <w:r>
        <w:t>Data-Oriented Design (C++): Replay events through a cache-line aligned C++ order book engine (FlatPriceBook with O(log N) price level lookup and zero heap fragmentation).</w:t>
      </w:r>
    </w:p>
    <w:p>
      <w:pPr>
        <w:pStyle w:val="ListBullet"/>
      </w:pPr>
      <w:r>
        <w:t>1-Second Depth Snapshots: Emit Top-10 bid/ask price levels and available shares at every second from 15:00:00 to 15:30:00 IST (1,800 snapshots per symbol/date).</w:t>
      </w:r>
    </w:p>
    <w:p>
      <w:pPr>
        <w:pStyle w:val="Heading2"/>
      </w:pPr>
      <w:r>
        <w:t>Step 6: Limit Order Book Liquidity &amp; Price Impact Analysis (Stage 5)</w:t>
      </w:r>
    </w:p>
    <w:p>
      <w:pPr>
        <w:pStyle w:val="ListBullet"/>
      </w:pPr>
      <w:r>
        <w:t>B1-B2 (Spread &amp; Depth Dynamics): Calculate percentage bid-ask spread widening and Top-5 / Top-10 order book depth erosion across the settlement window.</w:t>
      </w:r>
    </w:p>
    <w:p>
      <w:pPr>
        <w:pStyle w:val="ListBullet"/>
      </w:pPr>
      <w:r>
        <w:t>B3-B5 (OFI, Kyle's Lambda &amp; Asymmetry): Calculate Order Flow Imbalance (OFI), estimate Kyle's Lambda (price impact per million INR traded via OLS regression), and measure Bid-vs-Ask book asymmetry.</w:t>
      </w:r>
    </w:p>
    <w:p>
      <w:pPr>
        <w:pStyle w:val="Heading2"/>
      </w:pPr>
      <w:r>
        <w:t>Step 7: Bloomberg Terminal Integration &amp; Cross-Market Validation (Stage 6)</w:t>
      </w:r>
    </w:p>
    <w:p>
      <w:pPr>
        <w:pStyle w:val="ListBullet"/>
      </w:pPr>
      <w:r>
        <w:t>C1 (Roll Pressure): Ingest Bloomberg calendar spread data to quantify institutional rollover urgency and predict net directional punch ('UP' or 'DOWN').</w:t>
      </w:r>
    </w:p>
    <w:p>
      <w:pPr>
        <w:pStyle w:val="ListBullet"/>
      </w:pPr>
      <w:r>
        <w:t>C2-C3 (Cost-of-Carry &amp; Cross-Validation): Calculate implied repo rates and test whether Bloomberg roll direction predicts actual NSE Cash VWAP terminal drift and CLOB book imbalance.</w:t>
      </w:r>
    </w:p>
    <w:p>
      <w:pPr>
        <w:pStyle w:val="ListBullet"/>
      </w:pPr>
      <w:r>
        <w:t>C4 (Event Study): Evaluate price trajectories around block trade executions during the final 15 minutes.</w:t>
      </w:r>
    </w:p>
    <w:p>
      <w:pPr>
        <w:pStyle w:val="Heading2"/>
      </w:pPr>
      <w:r>
        <w:t>Step 8: Formal Hypothesis Testing Engine &amp; Statistical Reporting (Stage 7)</w:t>
      </w:r>
    </w:p>
    <w:p>
      <w:pPr>
        <w:pStyle w:val="ListBullet"/>
      </w:pPr>
      <w:r>
        <w:t>Statistical Test Execution: Evaluate all 30 formal hypotheses (H1-H30) using Paired t-tests, Wilcoxon Signed-Rank tests, Mann-Whitney U tests, OLS regression, Spearman rank correlation, and Binomial tests.</w:t>
      </w:r>
    </w:p>
    <w:p>
      <w:pPr>
        <w:pStyle w:val="ListBullet"/>
      </w:pPr>
      <w:r>
        <w:t>FDR Multiple-Testing Correction: Apply Benjamini-Hochberg False Discovery Rate correction across all p-values to control Type I errors.</w:t>
      </w:r>
    </w:p>
    <w:p>
      <w:pPr>
        <w:pStyle w:val="ListBullet"/>
      </w:pPr>
      <w:r>
        <w:t>Artifact Compilation: Automatically generate publication-quality figures (fig1 to fig10), summary statistical tables, and the final Markdown research paper.</w:t>
      </w:r>
    </w:p>
    <w:p>
      <w:pPr>
        <w:pStyle w:val="Heading2"/>
      </w:pPr>
      <w:r>
        <w:t>Step 9: Modular Staged Execution &amp; Scale-Up Strategy</w:t>
      </w:r>
    </w:p>
    <w:p>
      <w:pPr>
        <w:pStyle w:val="ListBullet"/>
      </w:pPr>
      <w:r>
        <w:t>Staged Workflow: Start processing with 1 or 2 symbols/dates for rapid initial verification of the entire pipeline.</w:t>
      </w:r>
    </w:p>
    <w:p>
      <w:pPr>
        <w:pStyle w:val="ListBullet"/>
      </w:pPr>
      <w:r>
        <w:t>Incremental Scaling: Copy additional raw data files into 'data/raw/' at any time; pipeline automatically skips previously parsed/built snapshots and dynamically updates partitions without wiping existing data.</w:t>
      </w:r>
    </w:p>
    <w:p/>
    <w:p>
      <w:pPr>
        <w:pStyle w:val="Heading1"/>
      </w:pPr>
      <w:r>
        <w:t>2. Complete List of Tested Hypotheses (H1 – H30)</w:t>
      </w:r>
    </w:p>
    <w:p>
      <w:r>
        <w:t>The table below outlines all 30 formal statistical hypotheses evaluated in Stage 7 of the pipeline, along with their null hypothesis (H0), alternative hypothesis (H1), and statistical testing methodology.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Hypothesis Name</w:t>
            </w:r>
          </w:p>
        </w:tc>
        <w:tc>
          <w:tcPr>
            <w:tcW w:type="dxa" w:w="244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Null Hypothesis (H0)</w:t>
            </w:r>
          </w:p>
        </w:tc>
        <w:tc>
          <w:tcPr>
            <w:tcW w:type="dxa" w:w="244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Alternative Hypothesis (H1)</w:t>
            </w:r>
          </w:p>
        </w:tc>
        <w:tc>
          <w:tcPr>
            <w:tcW w:type="dxa" w:w="14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Statistical Test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Expiry Day Basis Volatility Elevation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Basis volatility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Basis volatility is significantly higher on Expiry days due to VWAP settlement trading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Liquidity Impact on Expiry Basis Volatility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Illiquid and Liquid stocks experience identical basis volatility elevation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Illiquid stocks exhibit significantly higher basis volatility on Expiry day than Liquid stocks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Mann-Whitney U Test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Expiry vs Control Spread Widening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Bid-Ask spreads remain unchanged between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Bid-Ask spreads widen significantly during the 15:00-15:30 window on Expiry day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Spread Widening in Illiquid vs Liquid Symbols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Spread widening on Expiry day is equal across liquidity groups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Illiquid symbols experience significantly greater percentage spread widening than Liquid symbols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Mann-Whitney U Test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CLOB Top-5 Depth Erosion on Expiry Day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Available order book depth at Top-5 price levels is unchanged on Expiry day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Top-5 limit order book depth erodes significantly on Expiry day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Asymmetric Depth Erosion (Illiquid vs Liquid)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Depth erosion on Expiry day is identical across liquid and illiquid stocks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Illiquid symbols suffer more severe percentage depth erosion than Liquid symbols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Mann-Whitney U Test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Final 10-Minute Depth Collapse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LOB depth remains stable across the entire 30-minute settlement window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LOB depth drops significantly in the final 10 minutes (15:20-15:30 IST) of Expiry day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Order Flow Imbalance (OFI) Expiry Elevation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Absolute Cash OFI is identical on Expiry and Control days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Absolute Cash OFI is significantly elevated on Expiry day due to directional settlement pressure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Futures OFI Expiry Elevation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Absolute Futures OFI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Absolute Futures OFI is significantly elevated on Expiry day due to contract rolling/closing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Cross-Market OFI Synchronization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and Futures OFI are uncorrelated during the settlement window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and Futures OFI exhibit strong positive correlation on Expiry day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Pearson &amp; Spearman Correlation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Kyle's Lambda (Price Impact) Elevation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Price impact per million INR traded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Kyle's Lambda (price impact) is significantly higher on Expiry day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Illiquid Symbol Price Impact Sensitivity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Kyle's Lambda elevation is uniform across all Nifty 50 symbols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Illiquid symbols show a significantly larger increase in Kyle's Lambda on Expiry day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Mann-Whitney U Test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Proprietary Trader Activity Elevation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Proprietary trader share of trading volume is unchanged on Expiry day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Proprietary trader share of volume is significantly higher on Expiry day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Custodian Trade Share Stability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Custodian institutional trading volume share changes dramatically on Expiry day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Custodian trade share shows minimal deviation between Expiry and Control days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Algorithmic Order Contribution Elevation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Algorithmic order entry share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Algorithmic order entry share is significantly higher during Expiry settlement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 IOC Aggressiveness Elevation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Immediate-Or-Cancel (IOC) order usage by algos is identical across days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Algorithmic IOC usage increases significantly on Expiry day for urgent execution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Expiry Day Order Cancellation Ratio Elevation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cancellation-to-execution ratio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cancellation ratio is significantly higher on Expiry day due to fleeting liquidity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High-Frequency Quote Modification Intensity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modification frequency per minute is unchanged on Expiry day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Quote modification frequency is significantly elevated on Expiry day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H19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Iceberg Order Hidden Volume Contribution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Hidden iceberg order volume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Hidden iceberg order volume is significantly higher on Expiry day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Bloomberg Roll Direction Predicts Cash VWAP Drift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Bloomberg roll pressure direction has no predictive power over terminal VWAP drift (&lt;50% accuracy)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Bloomberg roll direction correctly predicts the sign of cash VWAP drift (&gt;50% accuracy)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Binomial Test (H0: p=0.5)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Roll Intensity Correlation with Magnitude of Cash VWAP Drift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 correlation exists between roll intensity and magnitude of cash VWAP drift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Roll intensity is positively correlated with absolute cash VWAP terminal drift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Spearman Rank Correlation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Roll Direction Predicts Final CLOB Book Asymmetry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Bloomberg roll direction does not predict final limit order book imbalance (&lt;50% accuracy)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Bloomberg roll direction predicts whether final CLOB imbalance is bid-heavy or ask-heavy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Binomial Test (H0: p=0.5)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Cost of Carry Mispricing Correlation with Cash OFI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 correlation exists between basis mispricing and Cash Order Flow Imbalance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Absolute cost-of-carry mispricing correlates positively with Cash OFI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Spearman Rank Correlation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VWAP Terminal Acceleration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VWAP drift is linear across the 30-minute settlement window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VWAP drift accelerates significantly in the final 10 minutes (15:20-15:30 IST)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Futures Volume Concentration in Final 15 Minutes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Futures trading volume is evenly distributed across the 15:00-15:30 window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Futures volume concentrates significantly in the 15:15-15:30 IST window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Expiry Day Turnover Elevation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Combined Cash and Futures INR turnover is identical on Expiry and Control days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Combined INR turnover is significantly elevated on Expiry day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Cross-Market Spread Convergence at 15:30 IST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Futures-Cash basis spread at 15:30 IST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Futures-Cash basis converges closer to zero at 15:30 IST on Expiry day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Algorithmic Share of Trade Volume Elevation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 share of executed trade volume is unchanged on Expiry day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Algorithmic execution volume share increases significantly on Expiry day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H29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Book Imbalance Persistence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Intraday autocorrelation of OFI is identical on Expiry and Control days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OFI autocorrelation is significantly stronger on Expiry day due to directional push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H30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Expiry Day Intraday Price Reversal Post-15:15 IST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Price movement post-15:15 is independent of 15:00-15:15 movement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Prices exhibit significant mean-reverting reversal post-15:15 IST on Expiry day</w:t>
            </w:r>
          </w:p>
        </w:tc>
        <w:tc>
          <w:tcPr>
            <w:tcW w:type="dxa" w:w="14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Paired t-test &amp; Wilcoxon Signed-Rank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