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E5247" w14:textId="77777777" w:rsidR="007368F9" w:rsidRDefault="007368F9">
      <w:pPr>
        <w:spacing w:after="320"/>
      </w:pPr>
    </w:p>
    <w:p w14:paraId="30486034" w14:textId="77777777" w:rsidR="00087F34" w:rsidRDefault="00087F34" w:rsidP="00087F34">
      <w:pPr>
        <w:spacing w:after="80"/>
        <w:jc w:val="center"/>
        <w:rPr>
          <w:b/>
          <w:bCs/>
          <w:color w:val="1E3A5F"/>
          <w:sz w:val="72"/>
          <w:szCs w:val="72"/>
        </w:rPr>
      </w:pPr>
    </w:p>
    <w:p w14:paraId="7A5A841A" w14:textId="77777777" w:rsidR="00087F34" w:rsidRDefault="00087F34" w:rsidP="00087F34">
      <w:pPr>
        <w:spacing w:after="80"/>
        <w:jc w:val="center"/>
        <w:rPr>
          <w:b/>
          <w:bCs/>
          <w:color w:val="1E3A5F"/>
          <w:sz w:val="72"/>
          <w:szCs w:val="72"/>
        </w:rPr>
      </w:pPr>
    </w:p>
    <w:p w14:paraId="51681716" w14:textId="77777777" w:rsidR="00087F34" w:rsidRDefault="00087F34" w:rsidP="00087F34">
      <w:pPr>
        <w:spacing w:after="80"/>
        <w:jc w:val="center"/>
        <w:rPr>
          <w:b/>
          <w:bCs/>
          <w:color w:val="1E3A5F"/>
          <w:sz w:val="72"/>
          <w:szCs w:val="72"/>
        </w:rPr>
      </w:pPr>
    </w:p>
    <w:p w14:paraId="45119C76" w14:textId="77777777" w:rsidR="00087F34" w:rsidRDefault="00087F34" w:rsidP="00087F34">
      <w:pPr>
        <w:spacing w:after="80"/>
        <w:jc w:val="center"/>
        <w:rPr>
          <w:b/>
          <w:bCs/>
          <w:color w:val="1E3A5F"/>
          <w:sz w:val="72"/>
          <w:szCs w:val="72"/>
        </w:rPr>
      </w:pPr>
    </w:p>
    <w:p w14:paraId="48BEF06F" w14:textId="214A93B7" w:rsidR="00087F34" w:rsidRDefault="00087F34" w:rsidP="00087F34">
      <w:pPr>
        <w:spacing w:after="80"/>
        <w:jc w:val="center"/>
      </w:pPr>
      <w:r>
        <w:rPr>
          <w:b/>
          <w:bCs/>
          <w:color w:val="1E3A5F"/>
          <w:sz w:val="72"/>
          <w:szCs w:val="72"/>
        </w:rPr>
        <w:t>KRITI 2026</w:t>
      </w:r>
    </w:p>
    <w:p w14:paraId="601AA33F" w14:textId="77777777" w:rsidR="00087F34" w:rsidRDefault="00087F34" w:rsidP="00087F34">
      <w:pPr>
        <w:spacing w:after="80"/>
        <w:jc w:val="center"/>
      </w:pPr>
      <w:r>
        <w:rPr>
          <w:color w:val="2563EB"/>
          <w:sz w:val="36"/>
          <w:szCs w:val="36"/>
        </w:rPr>
        <w:t>Strategy Performance Report</w:t>
      </w:r>
    </w:p>
    <w:p w14:paraId="78F58851" w14:textId="77777777" w:rsidR="00087F34" w:rsidRDefault="00087F34" w:rsidP="00087F34">
      <w:pPr>
        <w:spacing w:after="80"/>
        <w:jc w:val="center"/>
      </w:pPr>
      <w:r>
        <w:rPr>
          <w:i/>
          <w:iCs/>
          <w:color w:val="374151"/>
          <w:sz w:val="24"/>
          <w:szCs w:val="24"/>
        </w:rPr>
        <w:t>Out-of-Sample Period: January 2020 – June 2025</w:t>
      </w:r>
    </w:p>
    <w:p w14:paraId="7E7B82DC" w14:textId="77777777" w:rsidR="00087F34" w:rsidRDefault="00087F34" w:rsidP="00087F34">
      <w:pPr>
        <w:spacing w:after="80"/>
        <w:jc w:val="center"/>
      </w:pPr>
    </w:p>
    <w:tbl>
      <w:tblPr>
        <w:tblW w:w="5200" w:type="dxa"/>
        <w:tblInd w:w="2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</w:tblGrid>
      <w:tr w:rsidR="00087F34" w14:paraId="500EC9AC" w14:textId="77777777" w:rsidTr="00CB788B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3A5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63582070" w14:textId="77777777" w:rsidR="00087F34" w:rsidRDefault="00087F34" w:rsidP="00CB788B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LevUp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BeyondIRR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Group</w:t>
            </w:r>
          </w:p>
          <w:p w14:paraId="46E165E4" w14:textId="77777777" w:rsidR="00087F34" w:rsidRDefault="00087F34" w:rsidP="00CB788B">
            <w:pPr>
              <w:jc w:val="center"/>
            </w:pPr>
            <w:proofErr w:type="spellStart"/>
            <w:r>
              <w:rPr>
                <w:color w:val="93C5FD"/>
                <w:sz w:val="20"/>
                <w:szCs w:val="20"/>
              </w:rPr>
              <w:t>XGBoost</w:t>
            </w:r>
            <w:proofErr w:type="spellEnd"/>
            <w:r>
              <w:rPr>
                <w:color w:val="93C5FD"/>
                <w:sz w:val="20"/>
                <w:szCs w:val="20"/>
              </w:rPr>
              <w:t>-Driven Momentum | Long-Only | NSE Universe</w:t>
            </w:r>
          </w:p>
        </w:tc>
      </w:tr>
    </w:tbl>
    <w:p w14:paraId="625BB043" w14:textId="77777777" w:rsidR="00087F34" w:rsidRDefault="00087F34" w:rsidP="00087F34">
      <w:pPr>
        <w:spacing w:after="160"/>
        <w:jc w:val="center"/>
      </w:pPr>
    </w:p>
    <w:p w14:paraId="7285DFF1" w14:textId="1BF61ADC" w:rsidR="00087F34" w:rsidRDefault="00087F34" w:rsidP="00087F34">
      <w:pPr>
        <w:spacing w:after="60"/>
        <w:jc w:val="center"/>
      </w:pPr>
      <w:r>
        <w:rPr>
          <w:color w:val="374151"/>
        </w:rPr>
        <w:t>Initial Capital: ₹50 Lakhs | Universe: 144 NSE Stocks</w:t>
      </w:r>
    </w:p>
    <w:p w14:paraId="14ED0615" w14:textId="77777777" w:rsidR="00087F34" w:rsidRDefault="00087F34" w:rsidP="00087F34">
      <w:pPr>
        <w:spacing w:after="60"/>
        <w:jc w:val="center"/>
      </w:pPr>
      <w:r>
        <w:rPr>
          <w:color w:val="374151"/>
        </w:rPr>
        <w:t>Benchmark: Nifty 500</w:t>
      </w:r>
    </w:p>
    <w:p w14:paraId="7C7F1E5A" w14:textId="3CE56E22" w:rsidR="00087F34" w:rsidRDefault="00000000" w:rsidP="00087F34">
      <w:pPr>
        <w:spacing w:after="80"/>
        <w:jc w:val="center"/>
      </w:pPr>
      <w:r>
        <w:br w:type="page"/>
      </w:r>
    </w:p>
    <w:p w14:paraId="78CA6365" w14:textId="33BC6DFD" w:rsidR="007368F9" w:rsidRDefault="007368F9"/>
    <w:p w14:paraId="075418EC" w14:textId="77777777" w:rsidR="007368F9" w:rsidRDefault="00000000">
      <w:pPr>
        <w:pStyle w:val="Heading1"/>
        <w:pBdr>
          <w:bottom w:val="single" w:sz="6" w:space="4" w:color="2563EB"/>
        </w:pBdr>
      </w:pPr>
      <w:r>
        <w:t>1. Headline Performance — Out-of-Sample (2020–2025)</w:t>
      </w:r>
    </w:p>
    <w:p w14:paraId="404CD9B2" w14:textId="77777777" w:rsidR="007368F9" w:rsidRDefault="00000000">
      <w:pPr>
        <w:spacing w:after="160"/>
        <w:jc w:val="both"/>
      </w:pPr>
      <w:r>
        <w:rPr>
          <w:color w:val="374151"/>
        </w:rPr>
        <w:t>The strategy was trained on 2010–2019 data and tested, without any modification, on the 2020–2025 out-of-sample period. The results below are fully out-of-sample.</w:t>
      </w:r>
    </w:p>
    <w:p w14:paraId="5F4851D6" w14:textId="77777777" w:rsidR="007368F9" w:rsidRDefault="007368F9">
      <w:pPr>
        <w:spacing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0"/>
        <w:gridCol w:w="2100"/>
        <w:gridCol w:w="120"/>
        <w:gridCol w:w="2100"/>
        <w:gridCol w:w="120"/>
        <w:gridCol w:w="2100"/>
      </w:tblGrid>
      <w:tr w:rsidR="007368F9" w14:paraId="3AE3A0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1FAE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4786637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40"/>
                <w:szCs w:val="40"/>
              </w:rPr>
              <w:t>26.7%</w:t>
            </w:r>
          </w:p>
          <w:p w14:paraId="49F64643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CAGR (Strategy)</w:t>
            </w:r>
          </w:p>
          <w:p w14:paraId="07F262F7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vs Nifty 500: 17.1%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B6369" w14:textId="77777777" w:rsidR="007368F9" w:rsidRDefault="007368F9"/>
        </w:tc>
        <w:tc>
          <w:tcPr>
            <w:tcW w:w="2100" w:type="dxa"/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DB1B080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>1.69</w:t>
            </w:r>
          </w:p>
          <w:p w14:paraId="14CCF3FF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Sharpe Ratio</w:t>
            </w:r>
          </w:p>
          <w:p w14:paraId="15B93AC8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Annualised risk-</w:t>
            </w:r>
            <w:proofErr w:type="spellStart"/>
            <w:r>
              <w:rPr>
                <w:color w:val="6B7280"/>
                <w:sz w:val="16"/>
                <w:szCs w:val="16"/>
              </w:rPr>
              <w:t>adj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return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10C685" w14:textId="77777777" w:rsidR="007368F9" w:rsidRDefault="007368F9"/>
        </w:tc>
        <w:tc>
          <w:tcPr>
            <w:tcW w:w="2100" w:type="dxa"/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49CE189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>1.97</w:t>
            </w:r>
          </w:p>
          <w:p w14:paraId="71854378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Sortino Ratio</w:t>
            </w:r>
          </w:p>
          <w:p w14:paraId="207A58B8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Downside-</w:t>
            </w:r>
            <w:proofErr w:type="spellStart"/>
            <w:r>
              <w:rPr>
                <w:color w:val="6B7280"/>
                <w:sz w:val="16"/>
                <w:szCs w:val="16"/>
              </w:rPr>
              <w:t>adj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return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A43B8" w14:textId="77777777" w:rsidR="007368F9" w:rsidRDefault="007368F9"/>
        </w:tc>
        <w:tc>
          <w:tcPr>
            <w:tcW w:w="2100" w:type="dxa"/>
            <w:shd w:val="clear" w:color="auto" w:fill="FEE2E2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EF49826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DC2626"/>
                <w:sz w:val="40"/>
                <w:szCs w:val="40"/>
              </w:rPr>
              <w:t>-31.1%</w:t>
            </w:r>
          </w:p>
          <w:p w14:paraId="387DCD63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Max Drawdown</w:t>
            </w:r>
          </w:p>
          <w:p w14:paraId="4D3D11E0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During COVID crash 2020</w:t>
            </w:r>
          </w:p>
        </w:tc>
      </w:tr>
    </w:tbl>
    <w:p w14:paraId="49811A13" w14:textId="77777777" w:rsidR="007368F9" w:rsidRDefault="007368F9">
      <w:pPr>
        <w:spacing w:after="8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20"/>
        <w:gridCol w:w="2100"/>
        <w:gridCol w:w="120"/>
        <w:gridCol w:w="2100"/>
        <w:gridCol w:w="120"/>
        <w:gridCol w:w="2100"/>
      </w:tblGrid>
      <w:tr w:rsidR="007368F9" w14:paraId="20CBCB2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D21993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>0.86</w:t>
            </w:r>
          </w:p>
          <w:p w14:paraId="2F2C11F7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Calmar Ratio</w:t>
            </w:r>
          </w:p>
          <w:p w14:paraId="48BA0A6B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CAGR / Max Drawdown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E94F9" w14:textId="77777777" w:rsidR="007368F9" w:rsidRDefault="007368F9"/>
        </w:tc>
        <w:tc>
          <w:tcPr>
            <w:tcW w:w="2100" w:type="dxa"/>
            <w:shd w:val="clear" w:color="auto" w:fill="D1FAE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A15CFBA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059669"/>
                <w:sz w:val="40"/>
                <w:szCs w:val="40"/>
              </w:rPr>
              <w:t>55.6%</w:t>
            </w:r>
          </w:p>
          <w:p w14:paraId="21CEE00C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Win Rate</w:t>
            </w:r>
          </w:p>
          <w:p w14:paraId="1875FF28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8,636 closed trades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A705C" w14:textId="77777777" w:rsidR="007368F9" w:rsidRDefault="007368F9"/>
        </w:tc>
        <w:tc>
          <w:tcPr>
            <w:tcW w:w="2100" w:type="dxa"/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E453032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40"/>
                <w:szCs w:val="40"/>
              </w:rPr>
              <w:t>1.36</w:t>
            </w:r>
          </w:p>
          <w:p w14:paraId="4F56BF8A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Profit Factor</w:t>
            </w:r>
          </w:p>
          <w:p w14:paraId="4DFEE5A7" w14:textId="77777777" w:rsidR="007368F9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Avg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win / </w:t>
            </w:r>
            <w:proofErr w:type="spellStart"/>
            <w:r>
              <w:rPr>
                <w:color w:val="6B7280"/>
                <w:sz w:val="16"/>
                <w:szCs w:val="16"/>
              </w:rPr>
              <w:t>Avg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loss</w:t>
            </w:r>
          </w:p>
        </w:tc>
        <w:tc>
          <w:tcPr>
            <w:tcW w:w="12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BD0D50" w14:textId="77777777" w:rsidR="007368F9" w:rsidRDefault="007368F9"/>
        </w:tc>
        <w:tc>
          <w:tcPr>
            <w:tcW w:w="2100" w:type="dxa"/>
            <w:shd w:val="clear" w:color="auto" w:fill="FEF3C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DB48124" w14:textId="77777777" w:rsidR="007368F9" w:rsidRDefault="00000000">
            <w:pPr>
              <w:spacing w:after="60"/>
              <w:jc w:val="center"/>
            </w:pPr>
            <w:r>
              <w:rPr>
                <w:b/>
                <w:bCs/>
                <w:color w:val="D97706"/>
                <w:sz w:val="40"/>
                <w:szCs w:val="40"/>
              </w:rPr>
              <w:t>0.64</w:t>
            </w:r>
          </w:p>
          <w:p w14:paraId="70CB1C10" w14:textId="77777777" w:rsidR="007368F9" w:rsidRDefault="00000000">
            <w:pPr>
              <w:spacing w:after="40"/>
              <w:jc w:val="center"/>
            </w:pPr>
            <w:r>
              <w:rPr>
                <w:b/>
                <w:bCs/>
                <w:color w:val="374151"/>
                <w:sz w:val="18"/>
                <w:szCs w:val="18"/>
              </w:rPr>
              <w:t>Info Ratio</w:t>
            </w:r>
          </w:p>
          <w:p w14:paraId="3B0097C9" w14:textId="77777777" w:rsidR="007368F9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vs Nifty 500</w:t>
            </w:r>
          </w:p>
        </w:tc>
      </w:tr>
    </w:tbl>
    <w:p w14:paraId="453DFF98" w14:textId="77777777" w:rsidR="007368F9" w:rsidRDefault="007368F9">
      <w:pPr>
        <w:spacing w:after="160"/>
      </w:pPr>
    </w:p>
    <w:p w14:paraId="7683554A" w14:textId="77777777" w:rsidR="007368F9" w:rsidRDefault="00000000">
      <w:pPr>
        <w:pStyle w:val="Heading1"/>
        <w:pBdr>
          <w:bottom w:val="single" w:sz="6" w:space="4" w:color="2563EB"/>
        </w:pBdr>
      </w:pPr>
      <w:r>
        <w:t>2. Full Performance Metrics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1400"/>
        <w:gridCol w:w="3400"/>
      </w:tblGrid>
      <w:tr w:rsidR="007368F9" w14:paraId="17F4D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BE761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83280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568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Nifty 500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266F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Commentary</w:t>
            </w:r>
          </w:p>
        </w:tc>
      </w:tr>
      <w:tr w:rsidR="007368F9" w14:paraId="2AAE2C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034E4" w14:textId="77777777" w:rsidR="007368F9" w:rsidRDefault="00000000">
            <w:r>
              <w:rPr>
                <w:color w:val="374151"/>
                <w:sz w:val="20"/>
                <w:szCs w:val="20"/>
              </w:rPr>
              <w:t>CAGR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9CA3E" w14:textId="77777777" w:rsidR="007368F9" w:rsidRDefault="00000000">
            <w:r>
              <w:rPr>
                <w:color w:val="374151"/>
                <w:sz w:val="20"/>
                <w:szCs w:val="20"/>
              </w:rPr>
              <w:t>26.69%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0AE4D" w14:textId="77777777" w:rsidR="007368F9" w:rsidRDefault="00000000">
            <w:r>
              <w:rPr>
                <w:color w:val="374151"/>
                <w:sz w:val="20"/>
                <w:szCs w:val="20"/>
              </w:rPr>
              <w:t>17.11%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8A87" w14:textId="77777777" w:rsidR="007368F9" w:rsidRDefault="00000000">
            <w:r>
              <w:rPr>
                <w:color w:val="374151"/>
                <w:sz w:val="20"/>
                <w:szCs w:val="20"/>
              </w:rPr>
              <w:t>+9.58% annual outperformance over 5.5 years</w:t>
            </w:r>
          </w:p>
        </w:tc>
      </w:tr>
      <w:tr w:rsidR="007368F9" w14:paraId="41D4E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27F7D" w14:textId="77777777" w:rsidR="007368F9" w:rsidRDefault="00000000">
            <w:r>
              <w:rPr>
                <w:color w:val="374151"/>
                <w:sz w:val="20"/>
                <w:szCs w:val="20"/>
              </w:rPr>
              <w:t>Annualised Volatility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1D34C" w14:textId="77777777" w:rsidR="007368F9" w:rsidRDefault="00000000">
            <w:r>
              <w:rPr>
                <w:color w:val="374151"/>
                <w:sz w:val="20"/>
                <w:szCs w:val="20"/>
              </w:rPr>
              <w:t>15.83%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3F23C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0C9A8" w14:textId="77777777" w:rsidR="007368F9" w:rsidRDefault="00000000">
            <w:r>
              <w:rPr>
                <w:color w:val="374151"/>
                <w:sz w:val="20"/>
                <w:szCs w:val="20"/>
              </w:rPr>
              <w:t>Moderate — lower than typical small-cap strategies</w:t>
            </w:r>
          </w:p>
        </w:tc>
      </w:tr>
      <w:tr w:rsidR="007368F9" w14:paraId="5A69DF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D2F29" w14:textId="77777777" w:rsidR="007368F9" w:rsidRDefault="00000000">
            <w:r>
              <w:rPr>
                <w:color w:val="374151"/>
                <w:sz w:val="20"/>
                <w:szCs w:val="20"/>
              </w:rPr>
              <w:t>Sharpe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6F87C" w14:textId="77777777" w:rsidR="007368F9" w:rsidRDefault="00000000">
            <w:r>
              <w:rPr>
                <w:color w:val="374151"/>
                <w:sz w:val="20"/>
                <w:szCs w:val="20"/>
              </w:rPr>
              <w:t>1.69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7768E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BE054" w14:textId="77777777" w:rsidR="007368F9" w:rsidRDefault="00000000">
            <w:r>
              <w:rPr>
                <w:color w:val="374151"/>
                <w:sz w:val="20"/>
                <w:szCs w:val="20"/>
              </w:rPr>
              <w:t>Strong risk-adjusted return profile</w:t>
            </w:r>
          </w:p>
        </w:tc>
      </w:tr>
      <w:tr w:rsidR="007368F9" w14:paraId="524509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C0E9D5" w14:textId="77777777" w:rsidR="007368F9" w:rsidRDefault="00000000">
            <w:r>
              <w:rPr>
                <w:color w:val="374151"/>
                <w:sz w:val="20"/>
                <w:szCs w:val="20"/>
              </w:rPr>
              <w:t>Sortino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75C95" w14:textId="77777777" w:rsidR="007368F9" w:rsidRDefault="00000000">
            <w:r>
              <w:rPr>
                <w:color w:val="374151"/>
                <w:sz w:val="20"/>
                <w:szCs w:val="20"/>
              </w:rPr>
              <w:t>1.97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78F8D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B02BE" w14:textId="77777777" w:rsidR="007368F9" w:rsidRDefault="00000000">
            <w:r>
              <w:rPr>
                <w:color w:val="374151"/>
                <w:sz w:val="20"/>
                <w:szCs w:val="20"/>
              </w:rPr>
              <w:t>Downside drawdowns are smaller relative to gains</w:t>
            </w:r>
          </w:p>
        </w:tc>
      </w:tr>
      <w:tr w:rsidR="007368F9" w14:paraId="47F6B5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85121" w14:textId="77777777" w:rsidR="007368F9" w:rsidRDefault="00000000">
            <w:r>
              <w:rPr>
                <w:color w:val="374151"/>
                <w:sz w:val="20"/>
                <w:szCs w:val="20"/>
              </w:rPr>
              <w:t>Max Drawdown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D43C5" w14:textId="77777777" w:rsidR="007368F9" w:rsidRDefault="00000000">
            <w:r>
              <w:rPr>
                <w:color w:val="374151"/>
                <w:sz w:val="20"/>
                <w:szCs w:val="20"/>
              </w:rPr>
              <w:t>-31.14%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D9BCE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F135D" w14:textId="77777777" w:rsidR="007368F9" w:rsidRDefault="00000000">
            <w:r>
              <w:rPr>
                <w:color w:val="374151"/>
                <w:sz w:val="20"/>
                <w:szCs w:val="20"/>
              </w:rPr>
              <w:t>Occurred during COVID crash (Mar–Apr 2020)</w:t>
            </w:r>
          </w:p>
        </w:tc>
      </w:tr>
      <w:tr w:rsidR="007368F9" w14:paraId="245D7B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7D3A6" w14:textId="77777777" w:rsidR="007368F9" w:rsidRDefault="00000000">
            <w:r>
              <w:rPr>
                <w:color w:val="374151"/>
                <w:sz w:val="20"/>
                <w:szCs w:val="20"/>
              </w:rPr>
              <w:t>Calmar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F699D" w14:textId="77777777" w:rsidR="007368F9" w:rsidRDefault="00000000">
            <w:r>
              <w:rPr>
                <w:color w:val="374151"/>
                <w:sz w:val="20"/>
                <w:szCs w:val="20"/>
              </w:rPr>
              <w:t>0.86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36B80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FE193" w14:textId="77777777" w:rsidR="007368F9" w:rsidRDefault="00000000">
            <w:r>
              <w:rPr>
                <w:color w:val="374151"/>
                <w:sz w:val="20"/>
                <w:szCs w:val="20"/>
              </w:rPr>
              <w:t>CAGR relative to worst drawdown</w:t>
            </w:r>
          </w:p>
        </w:tc>
      </w:tr>
      <w:tr w:rsidR="007368F9" w14:paraId="343A8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F5DD1" w14:textId="77777777" w:rsidR="007368F9" w:rsidRDefault="00000000">
            <w:r>
              <w:rPr>
                <w:color w:val="374151"/>
                <w:sz w:val="20"/>
                <w:szCs w:val="20"/>
              </w:rPr>
              <w:t>Win Rate (per trade)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EE1F5" w14:textId="77777777" w:rsidR="007368F9" w:rsidRDefault="00000000">
            <w:r>
              <w:rPr>
                <w:color w:val="374151"/>
                <w:sz w:val="20"/>
                <w:szCs w:val="20"/>
              </w:rPr>
              <w:t>55.6%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F5557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99C35" w14:textId="77777777" w:rsidR="007368F9" w:rsidRDefault="00000000">
            <w:r>
              <w:rPr>
                <w:color w:val="374151"/>
                <w:sz w:val="20"/>
                <w:szCs w:val="20"/>
              </w:rPr>
              <w:t>Slight edge; gain comes from win-size vs loss-size</w:t>
            </w:r>
          </w:p>
        </w:tc>
      </w:tr>
      <w:tr w:rsidR="007368F9" w14:paraId="5396C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1D518" w14:textId="77777777" w:rsidR="007368F9" w:rsidRDefault="00000000">
            <w:r>
              <w:rPr>
                <w:color w:val="374151"/>
                <w:sz w:val="20"/>
                <w:szCs w:val="20"/>
              </w:rPr>
              <w:t>Profit Factor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8E4F2" w14:textId="77777777" w:rsidR="007368F9" w:rsidRDefault="00000000">
            <w:r>
              <w:rPr>
                <w:color w:val="374151"/>
                <w:sz w:val="20"/>
                <w:szCs w:val="20"/>
              </w:rPr>
              <w:t>1.36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3C89D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431C9" w14:textId="77777777" w:rsidR="007368F9" w:rsidRDefault="00000000">
            <w:r>
              <w:rPr>
                <w:color w:val="374151"/>
                <w:sz w:val="20"/>
                <w:szCs w:val="20"/>
              </w:rPr>
              <w:t>Average winner 1.36x larger than average loser</w:t>
            </w:r>
          </w:p>
        </w:tc>
      </w:tr>
      <w:tr w:rsidR="007368F9" w14:paraId="399BB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D9CEC" w14:textId="77777777" w:rsidR="007368F9" w:rsidRDefault="00000000">
            <w:r>
              <w:rPr>
                <w:color w:val="374151"/>
                <w:sz w:val="20"/>
                <w:szCs w:val="20"/>
              </w:rPr>
              <w:t>Information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9E093" w14:textId="77777777" w:rsidR="007368F9" w:rsidRDefault="00000000">
            <w:r>
              <w:rPr>
                <w:color w:val="374151"/>
                <w:sz w:val="20"/>
                <w:szCs w:val="20"/>
              </w:rPr>
              <w:t>0.64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9553F" w14:textId="77777777" w:rsidR="007368F9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836D0" w14:textId="77777777" w:rsidR="007368F9" w:rsidRDefault="00000000">
            <w:r>
              <w:rPr>
                <w:color w:val="374151"/>
                <w:sz w:val="20"/>
                <w:szCs w:val="20"/>
              </w:rPr>
              <w:t>Consistent excess return vs Nifty 500</w:t>
            </w:r>
          </w:p>
        </w:tc>
      </w:tr>
      <w:tr w:rsidR="007368F9" w14:paraId="7EDDC7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54B9B" w14:textId="77777777" w:rsidR="007368F9" w:rsidRDefault="00000000">
            <w:r>
              <w:rPr>
                <w:color w:val="374151"/>
                <w:sz w:val="20"/>
                <w:szCs w:val="20"/>
              </w:rPr>
              <w:t>Up-Capture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22E23" w14:textId="77777777" w:rsidR="007368F9" w:rsidRDefault="00000000">
            <w:r>
              <w:rPr>
                <w:color w:val="374151"/>
                <w:sz w:val="20"/>
                <w:szCs w:val="20"/>
              </w:rPr>
              <w:t>86.0%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0AA5C" w14:textId="77777777" w:rsidR="007368F9" w:rsidRDefault="00000000">
            <w:r>
              <w:rPr>
                <w:color w:val="374151"/>
                <w:sz w:val="20"/>
                <w:szCs w:val="20"/>
              </w:rPr>
              <w:t>100%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48DB8" w14:textId="77777777" w:rsidR="007368F9" w:rsidRDefault="00000000">
            <w:r>
              <w:rPr>
                <w:color w:val="374151"/>
                <w:sz w:val="20"/>
                <w:szCs w:val="20"/>
              </w:rPr>
              <w:t>Captures 86% of Nifty up-moves</w:t>
            </w:r>
          </w:p>
        </w:tc>
      </w:tr>
      <w:tr w:rsidR="007368F9" w14:paraId="5F0F1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1C263" w14:textId="77777777" w:rsidR="007368F9" w:rsidRDefault="00000000">
            <w:r>
              <w:rPr>
                <w:color w:val="374151"/>
                <w:sz w:val="20"/>
                <w:szCs w:val="20"/>
              </w:rPr>
              <w:t>Down-Capture Ratio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B053E" w14:textId="77777777" w:rsidR="007368F9" w:rsidRDefault="00000000">
            <w:r>
              <w:rPr>
                <w:color w:val="374151"/>
                <w:sz w:val="20"/>
                <w:szCs w:val="20"/>
              </w:rPr>
              <w:t>75.9%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4D49E" w14:textId="77777777" w:rsidR="007368F9" w:rsidRDefault="00000000">
            <w:r>
              <w:rPr>
                <w:color w:val="374151"/>
                <w:sz w:val="20"/>
                <w:szCs w:val="20"/>
              </w:rPr>
              <w:t>100%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D9AF8" w14:textId="77777777" w:rsidR="007368F9" w:rsidRDefault="00000000">
            <w:r>
              <w:rPr>
                <w:color w:val="374151"/>
                <w:sz w:val="20"/>
                <w:szCs w:val="20"/>
              </w:rPr>
              <w:t>Captures only 76% of Nifty down-moves — protective</w:t>
            </w:r>
          </w:p>
        </w:tc>
      </w:tr>
    </w:tbl>
    <w:p w14:paraId="2607E64A" w14:textId="77777777" w:rsidR="007368F9" w:rsidRDefault="00000000">
      <w:pPr>
        <w:pStyle w:val="Heading1"/>
        <w:pBdr>
          <w:bottom w:val="single" w:sz="6" w:space="4" w:color="2563EB"/>
        </w:pBdr>
      </w:pPr>
      <w:r>
        <w:lastRenderedPageBreak/>
        <w:t>3. Year-by-Year Performance</w:t>
      </w:r>
    </w:p>
    <w:p w14:paraId="181A6626" w14:textId="77777777" w:rsidR="007368F9" w:rsidRDefault="00000000">
      <w:pPr>
        <w:spacing w:after="160"/>
        <w:jc w:val="both"/>
      </w:pPr>
      <w:r>
        <w:rPr>
          <w:color w:val="374151"/>
        </w:rPr>
        <w:t>The table below shows annual returns, Nifty 500 benchmark returns, alpha (outperformance), and the intra-year maximum drawdown for each calendar year.</w:t>
      </w:r>
    </w:p>
    <w:p w14:paraId="47CD7B4C" w14:textId="77777777" w:rsidR="007368F9" w:rsidRDefault="007368F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2000"/>
        <w:gridCol w:w="1800"/>
      </w:tblGrid>
      <w:tr w:rsidR="007368F9" w14:paraId="52A21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FF4FE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67AB4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Strategy Return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E41B5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Nifty 500 Return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B68F5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Alpha (vs Nifty)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685A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Max Drawdown</w:t>
            </w:r>
          </w:p>
        </w:tc>
      </w:tr>
      <w:tr w:rsidR="007368F9" w14:paraId="23F2CF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E00F5" w14:textId="77777777" w:rsidR="007368F9" w:rsidRDefault="00000000">
            <w:r>
              <w:rPr>
                <w:color w:val="374151"/>
                <w:sz w:val="20"/>
                <w:szCs w:val="20"/>
              </w:rPr>
              <w:t>2020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77AF6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+45.0%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525E8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+16.5%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BF665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+28.5%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8549D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-31.1%</w:t>
            </w:r>
          </w:p>
        </w:tc>
      </w:tr>
      <w:tr w:rsidR="007368F9" w14:paraId="798935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75C4B" w14:textId="77777777" w:rsidR="007368F9" w:rsidRDefault="00000000">
            <w:r>
              <w:rPr>
                <w:color w:val="374151"/>
                <w:sz w:val="20"/>
                <w:szCs w:val="20"/>
              </w:rPr>
              <w:t>2021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C803C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+51.2%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07994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+28.3%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4FF4D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+22.9%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831354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-7.5%</w:t>
            </w:r>
          </w:p>
        </w:tc>
      </w:tr>
      <w:tr w:rsidR="007368F9" w14:paraId="2689B8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B89EF" w14:textId="77777777" w:rsidR="007368F9" w:rsidRDefault="00000000">
            <w:r>
              <w:rPr>
                <w:color w:val="374151"/>
                <w:sz w:val="20"/>
                <w:szCs w:val="20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7469A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+2.7%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C654C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+1.6%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70F44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+1.1%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18AE1" w14:textId="77777777" w:rsidR="007368F9" w:rsidRDefault="00000000">
            <w:pPr>
              <w:jc w:val="center"/>
            </w:pPr>
            <w:r>
              <w:rPr>
                <w:color w:val="D97706"/>
                <w:sz w:val="20"/>
                <w:szCs w:val="20"/>
              </w:rPr>
              <w:t>-16.7%</w:t>
            </w:r>
          </w:p>
        </w:tc>
      </w:tr>
      <w:tr w:rsidR="007368F9" w14:paraId="61039B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A5E8D" w14:textId="77777777" w:rsidR="007368F9" w:rsidRDefault="00000000">
            <w:r>
              <w:rPr>
                <w:color w:val="374151"/>
                <w:sz w:val="20"/>
                <w:szCs w:val="20"/>
              </w:rPr>
              <w:t>2023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A0B68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+36.3%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479DC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+25.2%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3C809" w14:textId="77777777" w:rsidR="007368F9" w:rsidRDefault="00000000">
            <w:pPr>
              <w:jc w:val="center"/>
            </w:pPr>
            <w:r>
              <w:rPr>
                <w:b/>
                <w:bCs/>
                <w:color w:val="059669"/>
                <w:sz w:val="20"/>
                <w:szCs w:val="20"/>
              </w:rPr>
              <w:t>+11.1%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DD651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-8.5%</w:t>
            </w:r>
          </w:p>
        </w:tc>
      </w:tr>
      <w:tr w:rsidR="007368F9" w14:paraId="695807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2C8DB" w14:textId="77777777" w:rsidR="007368F9" w:rsidRDefault="00000000">
            <w:r>
              <w:rPr>
                <w:color w:val="374151"/>
                <w:sz w:val="20"/>
                <w:szCs w:val="20"/>
              </w:rPr>
              <w:t>2024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0562D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+13.1%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69CF1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+15.2%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FA3EB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-2.1%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03B1A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-7.6%</w:t>
            </w:r>
          </w:p>
        </w:tc>
      </w:tr>
      <w:tr w:rsidR="007368F9" w14:paraId="2CC3DE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4BA67" w14:textId="77777777" w:rsidR="007368F9" w:rsidRDefault="00000000">
            <w:r>
              <w:rPr>
                <w:color w:val="374151"/>
                <w:sz w:val="20"/>
                <w:szCs w:val="20"/>
              </w:rPr>
              <w:t>2025 (H1)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0012D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+1.7%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9C349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+3.5%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59A3E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-1.8%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B0461" w14:textId="77777777" w:rsidR="007368F9" w:rsidRDefault="00000000">
            <w:pPr>
              <w:jc w:val="center"/>
            </w:pPr>
            <w:r>
              <w:rPr>
                <w:color w:val="D97706"/>
                <w:sz w:val="20"/>
                <w:szCs w:val="20"/>
              </w:rPr>
              <w:t>-11.2%</w:t>
            </w:r>
          </w:p>
        </w:tc>
      </w:tr>
    </w:tbl>
    <w:p w14:paraId="713B7F22" w14:textId="77777777" w:rsidR="007368F9" w:rsidRDefault="007368F9">
      <w:pPr>
        <w:spacing w:after="80"/>
      </w:pPr>
    </w:p>
    <w:p w14:paraId="128922C1" w14:textId="77777777" w:rsidR="007368F9" w:rsidRDefault="00000000">
      <w:pPr>
        <w:spacing w:after="160"/>
        <w:jc w:val="both"/>
      </w:pPr>
      <w:r>
        <w:rPr>
          <w:color w:val="374151"/>
        </w:rPr>
        <w:t>The strategy outperformed the Nifty 500 in 4 of 6 periods tested. The two years of underperformance (2024 and H1 2025) coincide with a large-cap-led rally where Nifty 500 was driven by a narrow set of mega-caps not well captured by the mid/small-cap-heavy universe.</w:t>
      </w:r>
    </w:p>
    <w:p w14:paraId="32071311" w14:textId="77777777" w:rsidR="007368F9" w:rsidRDefault="007368F9">
      <w:pPr>
        <w:spacing w:after="160"/>
      </w:pPr>
    </w:p>
    <w:p w14:paraId="54733B8E" w14:textId="77777777" w:rsidR="007368F9" w:rsidRDefault="00000000">
      <w:pPr>
        <w:pStyle w:val="Heading1"/>
        <w:pBdr>
          <w:bottom w:val="single" w:sz="6" w:space="4" w:color="2563EB"/>
        </w:pBdr>
      </w:pPr>
      <w:r>
        <w:t>4. Rolling Outperformance vs Nifty 500</w:t>
      </w:r>
    </w:p>
    <w:p w14:paraId="63C0A242" w14:textId="77777777" w:rsidR="007368F9" w:rsidRDefault="00000000">
      <w:pPr>
        <w:spacing w:after="160"/>
        <w:jc w:val="both"/>
      </w:pPr>
      <w:r>
        <w:rPr>
          <w:color w:val="374151"/>
        </w:rPr>
        <w:t>Rolling windows are calculated daily with overlapping periods. These confirm that the strategy's alpha is consistent across time, not concentrated in one lucky period.</w:t>
      </w:r>
    </w:p>
    <w:p w14:paraId="701D987D" w14:textId="77777777" w:rsidR="007368F9" w:rsidRDefault="007368F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2200"/>
        <w:gridCol w:w="2800"/>
      </w:tblGrid>
      <w:tr w:rsidR="007368F9" w14:paraId="34376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FDD6F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Rolling Window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EC60F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Average Outperformance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12C61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Worst Underperformance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053B0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7368F9" w14:paraId="6A4E90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E1832" w14:textId="77777777" w:rsidR="007368F9" w:rsidRDefault="00000000">
            <w:r>
              <w:rPr>
                <w:color w:val="374151"/>
                <w:sz w:val="20"/>
                <w:szCs w:val="20"/>
              </w:rPr>
              <w:t>1-Year Rolling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3182D" w14:textId="77777777" w:rsidR="007368F9" w:rsidRDefault="00000000">
            <w:r>
              <w:rPr>
                <w:color w:val="374151"/>
                <w:sz w:val="20"/>
                <w:szCs w:val="20"/>
              </w:rPr>
              <w:t>+6.49% p.a.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319F0" w14:textId="77777777" w:rsidR="007368F9" w:rsidRDefault="00000000">
            <w:r>
              <w:rPr>
                <w:color w:val="374151"/>
                <w:sz w:val="20"/>
                <w:szCs w:val="20"/>
              </w:rPr>
              <w:t>-8.23%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06F0BF" w14:textId="77777777" w:rsidR="007368F9" w:rsidRDefault="00000000">
            <w:r>
              <w:rPr>
                <w:color w:val="374151"/>
                <w:sz w:val="20"/>
                <w:szCs w:val="20"/>
              </w:rPr>
              <w:t>Some 1-year windows underperform; expected for any active strategy</w:t>
            </w:r>
          </w:p>
        </w:tc>
      </w:tr>
      <w:tr w:rsidR="007368F9" w14:paraId="5141C1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12F208" w14:textId="77777777" w:rsidR="007368F9" w:rsidRDefault="00000000">
            <w:r>
              <w:rPr>
                <w:color w:val="374151"/>
                <w:sz w:val="20"/>
                <w:szCs w:val="20"/>
              </w:rPr>
              <w:t>3-Year Rolling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BFB2A" w14:textId="77777777" w:rsidR="007368F9" w:rsidRDefault="00000000">
            <w:r>
              <w:rPr>
                <w:color w:val="374151"/>
                <w:sz w:val="20"/>
                <w:szCs w:val="20"/>
              </w:rPr>
              <w:t>+5.33% p.a.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F676D" w14:textId="77777777" w:rsidR="007368F9" w:rsidRDefault="00000000">
            <w:r>
              <w:rPr>
                <w:color w:val="374151"/>
                <w:sz w:val="20"/>
                <w:szCs w:val="20"/>
              </w:rPr>
              <w:t>-0.35%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FB363" w14:textId="77777777" w:rsidR="007368F9" w:rsidRDefault="00000000">
            <w:r>
              <w:rPr>
                <w:color w:val="374151"/>
                <w:sz w:val="20"/>
                <w:szCs w:val="20"/>
              </w:rPr>
              <w:t>Almost no 3-year window underperforms — strong consistency</w:t>
            </w:r>
          </w:p>
        </w:tc>
      </w:tr>
      <w:tr w:rsidR="007368F9" w14:paraId="7F6210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13C66" w14:textId="77777777" w:rsidR="007368F9" w:rsidRDefault="00000000">
            <w:r>
              <w:rPr>
                <w:color w:val="374151"/>
                <w:sz w:val="20"/>
                <w:szCs w:val="20"/>
              </w:rPr>
              <w:t>5-Year Rolling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7134F" w14:textId="77777777" w:rsidR="007368F9" w:rsidRDefault="00000000">
            <w:r>
              <w:rPr>
                <w:color w:val="374151"/>
                <w:sz w:val="20"/>
                <w:szCs w:val="20"/>
              </w:rPr>
              <w:t>+6.43% p.a.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C9A02" w14:textId="77777777" w:rsidR="007368F9" w:rsidRDefault="00000000">
            <w:r>
              <w:rPr>
                <w:color w:val="374151"/>
                <w:sz w:val="20"/>
                <w:szCs w:val="20"/>
              </w:rPr>
              <w:t>+4.02%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D368A" w14:textId="77777777" w:rsidR="007368F9" w:rsidRDefault="00000000">
            <w:r>
              <w:rPr>
                <w:color w:val="374151"/>
                <w:sz w:val="20"/>
                <w:szCs w:val="20"/>
              </w:rPr>
              <w:t>Every 5-year window outperforms — zero negative windows</w:t>
            </w:r>
          </w:p>
        </w:tc>
      </w:tr>
    </w:tbl>
    <w:p w14:paraId="702457FC" w14:textId="77777777" w:rsidR="007368F9" w:rsidRDefault="007368F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7368F9" w14:paraId="3D9603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563EB"/>
              <w:left w:val="single" w:sz="12" w:space="0" w:color="2563EB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504F9D" w14:textId="77777777" w:rsidR="007368F9" w:rsidRDefault="00000000">
            <w:pPr>
              <w:spacing w:after="80"/>
            </w:pPr>
            <w:r>
              <w:rPr>
                <w:b/>
                <w:bCs/>
                <w:color w:val="2563EB"/>
              </w:rPr>
              <w:t>5-Year Robustness</w:t>
            </w:r>
          </w:p>
          <w:p w14:paraId="4D0B179F" w14:textId="4C080C50" w:rsidR="007368F9" w:rsidRDefault="00000000">
            <w:r>
              <w:rPr>
                <w:color w:val="374151"/>
                <w:sz w:val="20"/>
                <w:szCs w:val="20"/>
              </w:rPr>
              <w:t>The worst 5-year rolling outperformance is +4.02% — meaning over any 5-year window in the test period, the strategy never underperformed Nifty 500.</w:t>
            </w:r>
          </w:p>
        </w:tc>
      </w:tr>
    </w:tbl>
    <w:p w14:paraId="32C8B906" w14:textId="77777777" w:rsidR="007368F9" w:rsidRDefault="00000000">
      <w:pPr>
        <w:pStyle w:val="Heading1"/>
        <w:pBdr>
          <w:bottom w:val="single" w:sz="6" w:space="4" w:color="2563EB"/>
        </w:pBdr>
      </w:pPr>
      <w:r>
        <w:lastRenderedPageBreak/>
        <w:t>5. Trade Statistics</w:t>
      </w:r>
    </w:p>
    <w:p w14:paraId="596EECB3" w14:textId="77777777" w:rsidR="007368F9" w:rsidRDefault="00000000">
      <w:pPr>
        <w:spacing w:after="160"/>
        <w:jc w:val="both"/>
      </w:pPr>
      <w:r>
        <w:rPr>
          <w:color w:val="374151"/>
        </w:rPr>
        <w:t>Over the 5.5-year out-of-sample period, the strategy executed 17,372 trade legs (8,736 buys and 8,636 sells). Note: the slight difference is due to positions still open at the end of the test period.</w:t>
      </w:r>
    </w:p>
    <w:p w14:paraId="0F7B80D9" w14:textId="77777777" w:rsidR="007368F9" w:rsidRDefault="007368F9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00"/>
      </w:tblGrid>
      <w:tr w:rsidR="007368F9" w14:paraId="0F137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AB4F0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C2632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F8D3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7368F9" w14:paraId="16732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6B496" w14:textId="77777777" w:rsidR="007368F9" w:rsidRDefault="00000000">
            <w:r>
              <w:rPr>
                <w:color w:val="374151"/>
                <w:sz w:val="20"/>
                <w:szCs w:val="20"/>
              </w:rPr>
              <w:t>Total buy executions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AD75A" w14:textId="77777777" w:rsidR="007368F9" w:rsidRDefault="00000000">
            <w:r>
              <w:rPr>
                <w:color w:val="374151"/>
                <w:sz w:val="20"/>
                <w:szCs w:val="20"/>
              </w:rPr>
              <w:t>8,736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47117" w14:textId="77777777" w:rsidR="007368F9" w:rsidRDefault="00000000">
            <w:r>
              <w:rPr>
                <w:color w:val="374151"/>
                <w:sz w:val="20"/>
                <w:szCs w:val="20"/>
              </w:rPr>
              <w:t>Average ~4.5 buys per trading day</w:t>
            </w:r>
          </w:p>
        </w:tc>
      </w:tr>
      <w:tr w:rsidR="007368F9" w14:paraId="07921B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45B18" w14:textId="77777777" w:rsidR="007368F9" w:rsidRDefault="00000000">
            <w:r>
              <w:rPr>
                <w:color w:val="374151"/>
                <w:sz w:val="20"/>
                <w:szCs w:val="20"/>
              </w:rPr>
              <w:t>Total sell executions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79A0F" w14:textId="77777777" w:rsidR="007368F9" w:rsidRDefault="00000000">
            <w:r>
              <w:rPr>
                <w:color w:val="374151"/>
                <w:sz w:val="20"/>
                <w:szCs w:val="20"/>
              </w:rPr>
              <w:t>8,636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E1255" w14:textId="77777777" w:rsidR="007368F9" w:rsidRDefault="00000000">
            <w:r>
              <w:rPr>
                <w:color w:val="374151"/>
                <w:sz w:val="20"/>
                <w:szCs w:val="20"/>
              </w:rPr>
              <w:t>Average ~4.5 sells per trading day</w:t>
            </w:r>
          </w:p>
        </w:tc>
      </w:tr>
      <w:tr w:rsidR="007368F9" w14:paraId="762F51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1EDB4" w14:textId="77777777" w:rsidR="007368F9" w:rsidRDefault="00000000">
            <w:r>
              <w:rPr>
                <w:color w:val="374151"/>
                <w:sz w:val="20"/>
                <w:szCs w:val="20"/>
              </w:rPr>
              <w:t>Average hold period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8B71C" w14:textId="77777777" w:rsidR="007368F9" w:rsidRDefault="00000000">
            <w:r>
              <w:rPr>
                <w:color w:val="374151"/>
                <w:sz w:val="20"/>
                <w:szCs w:val="20"/>
              </w:rPr>
              <w:t>13.8 days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560CC" w14:textId="77777777" w:rsidR="007368F9" w:rsidRDefault="00000000">
            <w:r>
              <w:rPr>
                <w:color w:val="374151"/>
                <w:sz w:val="20"/>
                <w:szCs w:val="20"/>
              </w:rPr>
              <w:t>Short-term; most exits via re-score or stop</w:t>
            </w:r>
          </w:p>
        </w:tc>
      </w:tr>
      <w:tr w:rsidR="007368F9" w14:paraId="51074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ED0FF" w14:textId="77777777" w:rsidR="007368F9" w:rsidRDefault="00000000">
            <w:r>
              <w:rPr>
                <w:color w:val="374151"/>
                <w:sz w:val="20"/>
                <w:szCs w:val="20"/>
              </w:rPr>
              <w:t>Win rate (closed trades)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46F53" w14:textId="77777777" w:rsidR="007368F9" w:rsidRDefault="00000000">
            <w:r>
              <w:rPr>
                <w:color w:val="374151"/>
                <w:sz w:val="20"/>
                <w:szCs w:val="20"/>
              </w:rPr>
              <w:t>55.6%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F8ED5" w14:textId="77777777" w:rsidR="007368F9" w:rsidRDefault="00000000">
            <w:r>
              <w:rPr>
                <w:color w:val="374151"/>
                <w:sz w:val="20"/>
                <w:szCs w:val="20"/>
              </w:rPr>
              <w:t>4,801 profitable trades out of 8,636</w:t>
            </w:r>
          </w:p>
        </w:tc>
      </w:tr>
      <w:tr w:rsidR="007368F9" w14:paraId="4D5F6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428F8" w14:textId="77777777" w:rsidR="007368F9" w:rsidRDefault="00000000">
            <w:r>
              <w:rPr>
                <w:color w:val="374151"/>
                <w:sz w:val="20"/>
                <w:szCs w:val="20"/>
              </w:rPr>
              <w:t>Best single trade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4863D" w14:textId="77777777" w:rsidR="007368F9" w:rsidRDefault="00000000">
            <w:r>
              <w:rPr>
                <w:color w:val="374151"/>
                <w:sz w:val="20"/>
                <w:szCs w:val="20"/>
              </w:rPr>
              <w:t>+181.3% (TANLA.NS)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EAB53" w14:textId="77777777" w:rsidR="007368F9" w:rsidRDefault="00000000">
            <w:r>
              <w:rPr>
                <w:color w:val="374151"/>
                <w:sz w:val="20"/>
                <w:szCs w:val="20"/>
              </w:rPr>
              <w:t>Held 48 days — trend-following at its best</w:t>
            </w:r>
          </w:p>
        </w:tc>
      </w:tr>
      <w:tr w:rsidR="007368F9" w14:paraId="2238D7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BDFDB" w14:textId="77777777" w:rsidR="007368F9" w:rsidRDefault="00000000">
            <w:r>
              <w:rPr>
                <w:color w:val="374151"/>
                <w:sz w:val="20"/>
                <w:szCs w:val="20"/>
              </w:rPr>
              <w:t>Worst single trade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37C5C6" w14:textId="77777777" w:rsidR="007368F9" w:rsidRDefault="00000000">
            <w:r>
              <w:rPr>
                <w:color w:val="374151"/>
                <w:sz w:val="20"/>
                <w:szCs w:val="20"/>
              </w:rPr>
              <w:t>-54.0%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B2860" w14:textId="77777777" w:rsidR="007368F9" w:rsidRDefault="00000000">
            <w:r>
              <w:rPr>
                <w:color w:val="374151"/>
                <w:sz w:val="20"/>
                <w:szCs w:val="20"/>
              </w:rPr>
              <w:t>Stop-loss triggered</w:t>
            </w:r>
          </w:p>
        </w:tc>
      </w:tr>
      <w:tr w:rsidR="007368F9" w14:paraId="5382A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CD298" w14:textId="77777777" w:rsidR="007368F9" w:rsidRDefault="00000000">
            <w:r>
              <w:rPr>
                <w:color w:val="374151"/>
                <w:sz w:val="20"/>
                <w:szCs w:val="20"/>
              </w:rPr>
              <w:t>Average winning trade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808E2" w14:textId="77777777" w:rsidR="007368F9" w:rsidRDefault="00000000">
            <w:r>
              <w:rPr>
                <w:color w:val="374151"/>
                <w:sz w:val="20"/>
                <w:szCs w:val="20"/>
              </w:rPr>
              <w:t>~+14.5%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97CBA" w14:textId="77777777" w:rsidR="007368F9" w:rsidRDefault="00000000">
            <w:r>
              <w:rPr>
                <w:color w:val="374151"/>
                <w:sz w:val="20"/>
                <w:szCs w:val="20"/>
              </w:rPr>
              <w:t>Gains significantly larger than losses</w:t>
            </w:r>
          </w:p>
        </w:tc>
      </w:tr>
      <w:tr w:rsidR="007368F9" w14:paraId="67492D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0A57C" w14:textId="77777777" w:rsidR="007368F9" w:rsidRDefault="00000000">
            <w:r>
              <w:rPr>
                <w:color w:val="374151"/>
                <w:sz w:val="20"/>
                <w:szCs w:val="20"/>
              </w:rPr>
              <w:t>Average losing trade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96401" w14:textId="77777777" w:rsidR="007368F9" w:rsidRDefault="00000000">
            <w:r>
              <w:rPr>
                <w:color w:val="374151"/>
                <w:sz w:val="20"/>
                <w:szCs w:val="20"/>
              </w:rPr>
              <w:t>~-10.7%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E7206" w14:textId="77777777" w:rsidR="007368F9" w:rsidRDefault="00000000">
            <w:r>
              <w:rPr>
                <w:color w:val="374151"/>
                <w:sz w:val="20"/>
                <w:szCs w:val="20"/>
              </w:rPr>
              <w:t>Losses capped by ATR stop-loss</w:t>
            </w:r>
          </w:p>
        </w:tc>
      </w:tr>
    </w:tbl>
    <w:p w14:paraId="7D568E0E" w14:textId="77777777" w:rsidR="007368F9" w:rsidRDefault="007368F9">
      <w:pPr>
        <w:spacing w:after="80"/>
      </w:pPr>
    </w:p>
    <w:p w14:paraId="7F2E1B0C" w14:textId="3D34766A" w:rsidR="007368F9" w:rsidRDefault="00000000" w:rsidP="00087F34">
      <w:pPr>
        <w:spacing w:after="160"/>
        <w:jc w:val="both"/>
      </w:pPr>
      <w:r>
        <w:rPr>
          <w:color w:val="374151"/>
        </w:rPr>
        <w:t>The profit factor of 1.36 reflects the strategy's core edge: while winners and losers are roughly split 55/45, winners are approximately 1.36x larger on average. This is a sign of genuine trend-following alpha — small losses, larger wins.</w:t>
      </w:r>
    </w:p>
    <w:p w14:paraId="26D0878F" w14:textId="77777777" w:rsidR="007368F9" w:rsidRDefault="00000000">
      <w:pPr>
        <w:pStyle w:val="Heading1"/>
        <w:pBdr>
          <w:bottom w:val="single" w:sz="6" w:space="4" w:color="2563EB"/>
        </w:pBdr>
      </w:pPr>
      <w:r>
        <w:t>6. Stress Test Results</w:t>
      </w:r>
    </w:p>
    <w:p w14:paraId="2F779021" w14:textId="20AF91A8" w:rsidR="007368F9" w:rsidRDefault="00000000" w:rsidP="00087F34">
      <w:pPr>
        <w:spacing w:after="160"/>
        <w:jc w:val="both"/>
      </w:pPr>
      <w:r>
        <w:rPr>
          <w:color w:val="374151"/>
        </w:rPr>
        <w:t>Ten stress scenarios were run on the same out-of-sample period. These test the strategy's sensitivity to cost assumptions, stop-loss settings, exposure levels, universe composition, and specific historical crashes.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100"/>
        <w:gridCol w:w="1100"/>
        <w:gridCol w:w="1200"/>
        <w:gridCol w:w="1100"/>
        <w:gridCol w:w="1200"/>
      </w:tblGrid>
      <w:tr w:rsidR="007368F9" w14:paraId="034987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11F4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9FBE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1F14C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2D012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Max DD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505BF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vs Base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A6DF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</w:tr>
      <w:tr w:rsidR="007368F9" w14:paraId="64FD9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EF456" w14:textId="77777777" w:rsidR="007368F9" w:rsidRDefault="00000000">
            <w:r>
              <w:rPr>
                <w:color w:val="374151"/>
                <w:sz w:val="20"/>
                <w:szCs w:val="20"/>
              </w:rPr>
              <w:t>S1: 2× Transaction Costs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04F53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17.7%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009F5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AB792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-32.3%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14564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-9.0%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FCFA4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55.6%</w:t>
            </w:r>
          </w:p>
        </w:tc>
      </w:tr>
      <w:tr w:rsidR="007368F9" w14:paraId="04AAE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2F677" w14:textId="77777777" w:rsidR="007368F9" w:rsidRDefault="00000000">
            <w:r>
              <w:rPr>
                <w:color w:val="374151"/>
                <w:sz w:val="20"/>
                <w:szCs w:val="20"/>
              </w:rPr>
              <w:t>S2: 5× Transaction Costs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633F4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-4.4%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41A3E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-0.28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F8715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-43.1%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DD9D6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-31.1%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AE334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55.5%</w:t>
            </w:r>
          </w:p>
        </w:tc>
      </w:tr>
      <w:tr w:rsidR="007368F9" w14:paraId="5EB78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4BC39" w14:textId="77777777" w:rsidR="007368F9" w:rsidRDefault="00000000">
            <w:r>
              <w:rPr>
                <w:color w:val="374151"/>
                <w:sz w:val="20"/>
                <w:szCs w:val="20"/>
              </w:rPr>
              <w:t>S3: Tight Stops (1.5× ATR)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58E15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28.1%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87806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1.76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14119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-31.4%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AFC90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+1.4%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80368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53.6%</w:t>
            </w:r>
          </w:p>
        </w:tc>
      </w:tr>
      <w:tr w:rsidR="007368F9" w14:paraId="76A60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11224" w14:textId="77777777" w:rsidR="007368F9" w:rsidRDefault="00000000">
            <w:r>
              <w:rPr>
                <w:color w:val="374151"/>
                <w:sz w:val="20"/>
                <w:szCs w:val="20"/>
              </w:rPr>
              <w:t>S4: Wide Stops (4.0× ATR)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1C5A0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28.2%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736BC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1.79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B9933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-29.6%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0F746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+1.5%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8ADF50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55.8%</w:t>
            </w:r>
          </w:p>
        </w:tc>
      </w:tr>
      <w:tr w:rsidR="007368F9" w14:paraId="5C4E76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4908C" w14:textId="77777777" w:rsidR="007368F9" w:rsidRDefault="00000000">
            <w:r>
              <w:rPr>
                <w:color w:val="374151"/>
                <w:sz w:val="20"/>
                <w:szCs w:val="20"/>
              </w:rPr>
              <w:t>S5: Low Min Exposure (55%)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A34E1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27.5%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B9CC3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1.80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9DCF3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-29.0%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E36A2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+0.9%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2D552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55.5%</w:t>
            </w:r>
          </w:p>
        </w:tc>
      </w:tr>
      <w:tr w:rsidR="007368F9" w14:paraId="5888D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7BDB2" w14:textId="77777777" w:rsidR="007368F9" w:rsidRDefault="00000000">
            <w:r>
              <w:rPr>
                <w:color w:val="374151"/>
                <w:sz w:val="20"/>
                <w:szCs w:val="20"/>
              </w:rPr>
              <w:t>S6: Large-Cap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5442E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12.3%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595D6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0.96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24021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-24.3%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328E7" w14:textId="77777777" w:rsidR="007368F9" w:rsidRDefault="00000000">
            <w:pPr>
              <w:jc w:val="center"/>
            </w:pPr>
            <w:r>
              <w:rPr>
                <w:color w:val="DC2626"/>
                <w:sz w:val="20"/>
                <w:szCs w:val="20"/>
              </w:rPr>
              <w:t>-14.3%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4E383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56.8%</w:t>
            </w:r>
          </w:p>
        </w:tc>
      </w:tr>
      <w:tr w:rsidR="007368F9" w14:paraId="5E2DE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FA56B" w14:textId="77777777" w:rsidR="007368F9" w:rsidRDefault="00000000">
            <w:r>
              <w:rPr>
                <w:color w:val="374151"/>
                <w:sz w:val="20"/>
                <w:szCs w:val="20"/>
              </w:rPr>
              <w:t>S7: Small/Mid-Cap Only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9ADF1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29.4%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2FFF7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1.73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2AC08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-31.6%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E67C6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+2.7%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3011F6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54.1%</w:t>
            </w:r>
          </w:p>
        </w:tc>
      </w:tr>
      <w:tr w:rsidR="007368F9" w14:paraId="08BB2A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405DB" w14:textId="77777777" w:rsidR="007368F9" w:rsidRDefault="00000000">
            <w:r>
              <w:rPr>
                <w:color w:val="374151"/>
                <w:sz w:val="20"/>
                <w:szCs w:val="20"/>
              </w:rPr>
              <w:t>S8: Exit During COVID Crash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1750E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30.2%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647366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2.04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ABFDAC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-17.2%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FA5B9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+3.5%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575F5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55.7%</w:t>
            </w:r>
          </w:p>
        </w:tc>
      </w:tr>
      <w:tr w:rsidR="007368F9" w14:paraId="30D02D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452DB" w14:textId="77777777" w:rsidR="007368F9" w:rsidRDefault="00000000">
            <w:r>
              <w:rPr>
                <w:color w:val="374151"/>
                <w:sz w:val="20"/>
                <w:szCs w:val="20"/>
              </w:rPr>
              <w:t>S9: Exit During 2022 Rate Shock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B49B7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31.4%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7C720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2.08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AEE1B4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-31.1%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59061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+4.7%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0B8D9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57.0%</w:t>
            </w:r>
          </w:p>
        </w:tc>
      </w:tr>
      <w:tr w:rsidR="007368F9" w14:paraId="7AC962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0C529" w14:textId="77777777" w:rsidR="007368F9" w:rsidRDefault="00000000">
            <w:r>
              <w:rPr>
                <w:color w:val="374151"/>
                <w:sz w:val="20"/>
                <w:szCs w:val="20"/>
              </w:rPr>
              <w:t>S10: Exit During Both Crashes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87A9B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32.6%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45571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2.37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E8E52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-16.2%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69117" w14:textId="77777777" w:rsidR="007368F9" w:rsidRDefault="00000000">
            <w:pPr>
              <w:jc w:val="center"/>
            </w:pPr>
            <w:r>
              <w:rPr>
                <w:color w:val="059669"/>
                <w:sz w:val="20"/>
                <w:szCs w:val="20"/>
              </w:rPr>
              <w:t>+5.9%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90D20" w14:textId="77777777" w:rsidR="007368F9" w:rsidRDefault="00000000">
            <w:pPr>
              <w:jc w:val="center"/>
            </w:pPr>
            <w:r>
              <w:rPr>
                <w:color w:val="374151"/>
                <w:sz w:val="20"/>
                <w:szCs w:val="20"/>
              </w:rPr>
              <w:t>57.4%</w:t>
            </w:r>
          </w:p>
        </w:tc>
      </w:tr>
      <w:tr w:rsidR="007368F9" w14:paraId="370880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505EC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BASE RUN (Benchmark)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50E966" w14:textId="77777777" w:rsidR="007368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26.7%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F6E0" w14:textId="77777777" w:rsidR="007368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1.69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9BCEC" w14:textId="77777777" w:rsidR="007368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-31.1%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1A9DD" w14:textId="77777777" w:rsidR="007368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E4E25" w14:textId="77777777" w:rsidR="007368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55.6%</w:t>
            </w:r>
          </w:p>
        </w:tc>
      </w:tr>
    </w:tbl>
    <w:p w14:paraId="5C2990DE" w14:textId="77777777" w:rsidR="007368F9" w:rsidRDefault="007368F9">
      <w:pPr>
        <w:spacing w:after="80"/>
      </w:pPr>
    </w:p>
    <w:p w14:paraId="41A77023" w14:textId="77777777" w:rsidR="007368F9" w:rsidRDefault="00000000">
      <w:pPr>
        <w:spacing w:after="160"/>
        <w:jc w:val="both"/>
      </w:pPr>
      <w:r>
        <w:rPr>
          <w:color w:val="374151"/>
        </w:rPr>
        <w:t>Key takeaways from the stress tests:</w:t>
      </w:r>
    </w:p>
    <w:p w14:paraId="4F85C03C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Cost sensitivity:</w:t>
      </w:r>
      <w:r>
        <w:rPr>
          <w:color w:val="374151"/>
        </w:rPr>
        <w:t xml:space="preserve"> The strategy is robust up to 2x costs (CAGR drops from 26.7% to 17.7%) but breaks at 5x costs (-4.4% CAGR). At actual competition costs of 0.268%/side, there is comfortable headroom.</w:t>
      </w:r>
    </w:p>
    <w:p w14:paraId="592CAF9D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Stop-loss width:</w:t>
      </w:r>
      <w:r>
        <w:rPr>
          <w:color w:val="374151"/>
        </w:rPr>
        <w:t xml:space="preserve"> CAGR is almost identical whether stops are tight (1.5x ATR) or wide (4.0x ATR). The strategy's edge does not depend on precise stop calibration.</w:t>
      </w:r>
    </w:p>
    <w:p w14:paraId="2259F081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Universe composition:</w:t>
      </w:r>
      <w:r>
        <w:rPr>
          <w:color w:val="374151"/>
        </w:rPr>
        <w:t xml:space="preserve"> The mid/small-cap portion drives most of the alpha. Large-cap only gives just 12.3% CAGR versus 29.4% for mid/small only. This is expected — larger edge in less-efficient markets.</w:t>
      </w:r>
    </w:p>
    <w:p w14:paraId="6F6C4FDD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Crash resilience:</w:t>
      </w:r>
      <w:r>
        <w:rPr>
          <w:color w:val="374151"/>
        </w:rPr>
        <w:t xml:space="preserve"> Scenarios S8–S10 (where positions are force-exited during known crashes) actually improve CAGR and reduce drawdown significantly. This confirms the breadth scaling and stop-losses work in the intended direction.</w:t>
      </w:r>
    </w:p>
    <w:p w14:paraId="2940CAAC" w14:textId="77777777" w:rsidR="007368F9" w:rsidRDefault="007368F9">
      <w:pPr>
        <w:spacing w:after="160"/>
      </w:pPr>
    </w:p>
    <w:p w14:paraId="35ABE5DA" w14:textId="77777777" w:rsidR="007368F9" w:rsidRDefault="00000000">
      <w:pPr>
        <w:pStyle w:val="Heading1"/>
        <w:pBdr>
          <w:bottom w:val="single" w:sz="6" w:space="4" w:color="2563EB"/>
        </w:pBdr>
      </w:pPr>
      <w:r>
        <w:t>7. Transaction Cost Sensitivity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1200"/>
        <w:gridCol w:w="1600"/>
        <w:gridCol w:w="2800"/>
      </w:tblGrid>
      <w:tr w:rsidR="007368F9" w14:paraId="51D47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ACF8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Cost per Side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17898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CAGR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C122C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Sharpe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1E93F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Max Drawdown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DBF66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7368F9" w14:paraId="0C6306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F4C6F" w14:textId="77777777" w:rsidR="007368F9" w:rsidRDefault="00000000">
            <w:r>
              <w:rPr>
                <w:color w:val="374151"/>
                <w:sz w:val="20"/>
                <w:szCs w:val="20"/>
              </w:rPr>
              <w:t>0.134% (0.5×)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42774" w14:textId="77777777" w:rsidR="007368F9" w:rsidRDefault="00000000">
            <w:r>
              <w:rPr>
                <w:color w:val="374151"/>
                <w:sz w:val="20"/>
                <w:szCs w:val="20"/>
              </w:rPr>
              <w:t>33.2%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A3A8D" w14:textId="77777777" w:rsidR="007368F9" w:rsidRDefault="00000000">
            <w:r>
              <w:rPr>
                <w:color w:val="374151"/>
                <w:sz w:val="20"/>
                <w:szCs w:val="20"/>
              </w:rPr>
              <w:t>2.10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4E98D" w14:textId="77777777" w:rsidR="007368F9" w:rsidRDefault="00000000">
            <w:r>
              <w:rPr>
                <w:color w:val="374151"/>
                <w:sz w:val="20"/>
                <w:szCs w:val="20"/>
              </w:rPr>
              <w:t>-30.6%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084CA" w14:textId="77777777" w:rsidR="007368F9" w:rsidRDefault="00000000">
            <w:r>
              <w:rPr>
                <w:color w:val="374151"/>
                <w:sz w:val="20"/>
                <w:szCs w:val="20"/>
              </w:rPr>
              <w:t>Lower brokerage scenario</w:t>
            </w:r>
          </w:p>
        </w:tc>
      </w:tr>
      <w:tr w:rsidR="007368F9" w14:paraId="09085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F793C" w14:textId="77777777" w:rsidR="007368F9" w:rsidRDefault="00000000">
            <w:r>
              <w:rPr>
                <w:color w:val="374151"/>
                <w:sz w:val="20"/>
                <w:szCs w:val="20"/>
              </w:rPr>
              <w:t>0.268% (1× base)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AD21B" w14:textId="77777777" w:rsidR="007368F9" w:rsidRDefault="00000000">
            <w:r>
              <w:rPr>
                <w:color w:val="374151"/>
                <w:sz w:val="20"/>
                <w:szCs w:val="20"/>
              </w:rPr>
              <w:t>26.7%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B3172" w14:textId="77777777" w:rsidR="007368F9" w:rsidRDefault="00000000">
            <w:r>
              <w:rPr>
                <w:color w:val="374151"/>
                <w:sz w:val="20"/>
                <w:szCs w:val="20"/>
              </w:rPr>
              <w:t>1.69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4C1E0" w14:textId="77777777" w:rsidR="007368F9" w:rsidRDefault="00000000">
            <w:r>
              <w:rPr>
                <w:color w:val="374151"/>
                <w:sz w:val="20"/>
                <w:szCs w:val="20"/>
              </w:rPr>
              <w:t>-31.1%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E7196" w14:textId="77777777" w:rsidR="007368F9" w:rsidRDefault="00000000">
            <w:r>
              <w:rPr>
                <w:color w:val="374151"/>
                <w:sz w:val="20"/>
                <w:szCs w:val="20"/>
              </w:rPr>
              <w:t>← Competition cost</w:t>
            </w:r>
          </w:p>
        </w:tc>
      </w:tr>
      <w:tr w:rsidR="007368F9" w14:paraId="560C5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63014" w14:textId="77777777" w:rsidR="007368F9" w:rsidRDefault="00000000">
            <w:r>
              <w:rPr>
                <w:color w:val="374151"/>
                <w:sz w:val="20"/>
                <w:szCs w:val="20"/>
              </w:rPr>
              <w:t>0.402% (1.5×)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F3F70" w14:textId="77777777" w:rsidR="007368F9" w:rsidRDefault="00000000">
            <w:r>
              <w:rPr>
                <w:color w:val="374151"/>
                <w:sz w:val="20"/>
                <w:szCs w:val="20"/>
              </w:rPr>
              <w:t>23.3%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1932A" w14:textId="77777777" w:rsidR="007368F9" w:rsidRDefault="00000000">
            <w:r>
              <w:rPr>
                <w:color w:val="374151"/>
                <w:sz w:val="20"/>
                <w:szCs w:val="20"/>
              </w:rPr>
              <w:t>1.47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7862D" w14:textId="77777777" w:rsidR="007368F9" w:rsidRDefault="00000000">
            <w:r>
              <w:rPr>
                <w:color w:val="374151"/>
                <w:sz w:val="20"/>
                <w:szCs w:val="20"/>
              </w:rPr>
              <w:t>-31.8%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356F9" w14:textId="77777777" w:rsidR="007368F9" w:rsidRDefault="007368F9"/>
        </w:tc>
      </w:tr>
      <w:tr w:rsidR="007368F9" w14:paraId="00BB7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04C012" w14:textId="77777777" w:rsidR="007368F9" w:rsidRDefault="00000000">
            <w:r>
              <w:rPr>
                <w:color w:val="374151"/>
                <w:sz w:val="20"/>
                <w:szCs w:val="20"/>
              </w:rPr>
              <w:t>0.536% (2×)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947F4" w14:textId="77777777" w:rsidR="007368F9" w:rsidRDefault="00000000">
            <w:r>
              <w:rPr>
                <w:color w:val="374151"/>
                <w:sz w:val="20"/>
                <w:szCs w:val="20"/>
              </w:rPr>
              <w:t>17.7%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A5E8A" w14:textId="77777777" w:rsidR="007368F9" w:rsidRDefault="00000000">
            <w:r>
              <w:rPr>
                <w:color w:val="374151"/>
                <w:sz w:val="20"/>
                <w:szCs w:val="20"/>
              </w:rPr>
              <w:t>1.12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9BA90" w14:textId="77777777" w:rsidR="007368F9" w:rsidRDefault="00000000">
            <w:r>
              <w:rPr>
                <w:color w:val="374151"/>
                <w:sz w:val="20"/>
                <w:szCs w:val="20"/>
              </w:rPr>
              <w:t>-32.3%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6E567" w14:textId="77777777" w:rsidR="007368F9" w:rsidRDefault="007368F9"/>
        </w:tc>
      </w:tr>
      <w:tr w:rsidR="007368F9" w14:paraId="4471F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7CB88" w14:textId="77777777" w:rsidR="007368F9" w:rsidRDefault="00000000">
            <w:r>
              <w:rPr>
                <w:color w:val="374151"/>
                <w:sz w:val="20"/>
                <w:szCs w:val="20"/>
              </w:rPr>
              <w:t>0.804% (3×)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47DBF9" w14:textId="77777777" w:rsidR="007368F9" w:rsidRDefault="00000000">
            <w:r>
              <w:rPr>
                <w:color w:val="374151"/>
                <w:sz w:val="20"/>
                <w:szCs w:val="20"/>
              </w:rPr>
              <w:t>9.7%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ED44F" w14:textId="77777777" w:rsidR="007368F9" w:rsidRDefault="00000000">
            <w:r>
              <w:rPr>
                <w:color w:val="374151"/>
                <w:sz w:val="20"/>
                <w:szCs w:val="20"/>
              </w:rPr>
              <w:t>0.61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3AB9E" w14:textId="77777777" w:rsidR="007368F9" w:rsidRDefault="00000000">
            <w:r>
              <w:rPr>
                <w:color w:val="374151"/>
                <w:sz w:val="20"/>
                <w:szCs w:val="20"/>
              </w:rPr>
              <w:t>-33.3%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CBD332" w14:textId="77777777" w:rsidR="007368F9" w:rsidRDefault="007368F9"/>
        </w:tc>
      </w:tr>
      <w:tr w:rsidR="007368F9" w14:paraId="7C468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32A09" w14:textId="77777777" w:rsidR="007368F9" w:rsidRDefault="00000000">
            <w:r>
              <w:rPr>
                <w:color w:val="374151"/>
                <w:sz w:val="20"/>
                <w:szCs w:val="20"/>
              </w:rPr>
              <w:t>1.340% (5×)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08658" w14:textId="77777777" w:rsidR="007368F9" w:rsidRDefault="00000000">
            <w:r>
              <w:rPr>
                <w:color w:val="374151"/>
                <w:sz w:val="20"/>
                <w:szCs w:val="20"/>
              </w:rPr>
              <w:t>-4.4%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EA719" w14:textId="77777777" w:rsidR="007368F9" w:rsidRDefault="00000000">
            <w:r>
              <w:rPr>
                <w:color w:val="374151"/>
                <w:sz w:val="20"/>
                <w:szCs w:val="20"/>
              </w:rPr>
              <w:t>-0.28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D4EB6" w14:textId="77777777" w:rsidR="007368F9" w:rsidRDefault="00000000">
            <w:r>
              <w:rPr>
                <w:color w:val="374151"/>
                <w:sz w:val="20"/>
                <w:szCs w:val="20"/>
              </w:rPr>
              <w:t>-43.1%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173DC" w14:textId="77777777" w:rsidR="007368F9" w:rsidRDefault="00000000">
            <w:r>
              <w:rPr>
                <w:color w:val="374151"/>
                <w:sz w:val="20"/>
                <w:szCs w:val="20"/>
              </w:rPr>
              <w:t>Break-even exceeded</w:t>
            </w:r>
          </w:p>
        </w:tc>
      </w:tr>
    </w:tbl>
    <w:p w14:paraId="39A7764D" w14:textId="77777777" w:rsidR="007368F9" w:rsidRDefault="007368F9">
      <w:pPr>
        <w:spacing w:after="80"/>
      </w:pPr>
    </w:p>
    <w:p w14:paraId="37732D55" w14:textId="2D6A8B5C" w:rsidR="007368F9" w:rsidRDefault="00000000" w:rsidP="00087F34">
      <w:pPr>
        <w:spacing w:after="160"/>
        <w:jc w:val="both"/>
      </w:pPr>
      <w:r>
        <w:rPr>
          <w:color w:val="374151"/>
        </w:rPr>
        <w:t>The strategy breaks even at approximately 4x the competition cost level, or roughly 1.07% per side. This provides a meaningful margin of safety above the required 0.268%/side.</w:t>
      </w:r>
    </w:p>
    <w:p w14:paraId="383F0372" w14:textId="7F465CF4" w:rsidR="007368F9" w:rsidRDefault="00000000" w:rsidP="00087F34">
      <w:pPr>
        <w:pStyle w:val="Heading1"/>
        <w:pBdr>
          <w:bottom w:val="single" w:sz="6" w:space="4" w:color="2563EB"/>
        </w:pBdr>
      </w:pPr>
      <w:r>
        <w:t>8. Visual Performance Charts</w:t>
      </w:r>
    </w:p>
    <w:p w14:paraId="64740294" w14:textId="77777777" w:rsidR="007368F9" w:rsidRDefault="00000000">
      <w:pPr>
        <w:pStyle w:val="Heading2"/>
      </w:pPr>
      <w:r>
        <w:t>8.1 Base Strategy Chart (kriti2026_report.png)</w:t>
      </w:r>
    </w:p>
    <w:p w14:paraId="5193E39F" w14:textId="77777777" w:rsidR="007368F9" w:rsidRDefault="00000000">
      <w:pPr>
        <w:spacing w:after="160"/>
        <w:jc w:val="both"/>
      </w:pPr>
      <w:r>
        <w:rPr>
          <w:color w:val="374151"/>
        </w:rPr>
        <w:t>This 4-panel chart shows:</w:t>
      </w:r>
    </w:p>
    <w:p w14:paraId="31902E45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Equity Curve:</w:t>
      </w:r>
      <w:r>
        <w:rPr>
          <w:color w:val="374151"/>
        </w:rPr>
        <w:t xml:space="preserve"> NAV in ₹ lakhs from Jan 2020 to Jun 2025, plotted against the rebased Nifty 500 benchmark. The strategy's line is consistently above the benchmark through 2021–2023, with convergence in 2024–2025 as large-caps rallied.</w:t>
      </w:r>
    </w:p>
    <w:p w14:paraId="034BC8F0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lastRenderedPageBreak/>
        <w:t>Drawdown Profile:</w:t>
      </w:r>
      <w:r>
        <w:rPr>
          <w:color w:val="374151"/>
        </w:rPr>
        <w:t xml:space="preserve"> The maximum drawdown of -31.1% occurred in March 2020 during the COVID crash. The strategy recovered quickly, with subsequent drawdowns contained below -17%.</w:t>
      </w:r>
    </w:p>
    <w:p w14:paraId="0D6857B0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Rolling 1-Year Sharpe:</w:t>
      </w:r>
      <w:r>
        <w:rPr>
          <w:color w:val="374151"/>
        </w:rPr>
        <w:t xml:space="preserve"> Shows the Sharpe ratio over each trailing 252-day window. The rolling Sharpe stays above 1.0 for most of the period, dipping below only during the 2022 rate shock and 2024–2025 large-cap rotation.</w:t>
      </w:r>
    </w:p>
    <w:p w14:paraId="76F8ACC4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Trade P&amp;L Distribution:</w:t>
      </w:r>
      <w:r>
        <w:rPr>
          <w:color w:val="374151"/>
        </w:rPr>
        <w:t xml:space="preserve"> A histogram of all closed trade returns. The distribution is right-skewed with a mean above zero, confirming the positive edge. The long right tail (large winners) is the source of the outperformance.</w:t>
      </w:r>
    </w:p>
    <w:p w14:paraId="3D08C407" w14:textId="77777777" w:rsidR="007368F9" w:rsidRDefault="007368F9">
      <w:pPr>
        <w:spacing w:after="80"/>
      </w:pPr>
    </w:p>
    <w:p w14:paraId="14551EE1" w14:textId="77777777" w:rsidR="007368F9" w:rsidRDefault="00000000">
      <w:pPr>
        <w:pStyle w:val="Heading2"/>
      </w:pPr>
      <w:r>
        <w:t>8.2 Stress Test Chart (kriti2026_stress_report.png)</w:t>
      </w:r>
    </w:p>
    <w:p w14:paraId="208E6B84" w14:textId="77777777" w:rsidR="007368F9" w:rsidRDefault="00000000">
      <w:pPr>
        <w:spacing w:after="160"/>
        <w:jc w:val="both"/>
      </w:pPr>
      <w:r>
        <w:rPr>
          <w:color w:val="374151"/>
        </w:rPr>
        <w:t>This 5-panel chart shows:</w:t>
      </w:r>
    </w:p>
    <w:p w14:paraId="12BF6F43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Equity Curves:</w:t>
      </w:r>
      <w:r>
        <w:rPr>
          <w:color w:val="374151"/>
        </w:rPr>
        <w:t xml:space="preserve"> All 10 stress scenarios plotted alongside the base strategy and the Nifty 500 benchmark. The cluster of curves above the benchmark confirms robustness.</w:t>
      </w:r>
    </w:p>
    <w:p w14:paraId="551C1BAE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CAGR Bar Chart:</w:t>
      </w:r>
      <w:r>
        <w:rPr>
          <w:color w:val="374151"/>
        </w:rPr>
        <w:t xml:space="preserve"> Horizontal bar chart of stress scenario CAGRs vs the base. Blue = better than or close to base; red = worse.</w:t>
      </w:r>
    </w:p>
    <w:p w14:paraId="325EC0D9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Sharpe Bar Chart:</w:t>
      </w:r>
      <w:r>
        <w:rPr>
          <w:color w:val="374151"/>
        </w:rPr>
        <w:t xml:space="preserve"> Same format for Sharpe ratios.</w:t>
      </w:r>
    </w:p>
    <w:p w14:paraId="7819081D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Cost Sensitivity Line Chart:</w:t>
      </w:r>
      <w:r>
        <w:rPr>
          <w:color w:val="374151"/>
        </w:rPr>
        <w:t xml:space="preserve"> CAGR and Sharpe plotted against cost multiplier (0.5x to 5x), showing the smooth degradation in performance with rising costs.</w:t>
      </w:r>
    </w:p>
    <w:p w14:paraId="73594515" w14:textId="77777777" w:rsidR="007368F9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74151"/>
        </w:rPr>
        <w:t>Max Drawdown Bar Chart:</w:t>
      </w:r>
      <w:r>
        <w:rPr>
          <w:color w:val="374151"/>
        </w:rPr>
        <w:t xml:space="preserve"> Green bars = drawdown better (smaller) than base; red bars = worse.</w:t>
      </w:r>
    </w:p>
    <w:p w14:paraId="42BC1CE8" w14:textId="77777777" w:rsidR="007368F9" w:rsidRDefault="007368F9">
      <w:pPr>
        <w:spacing w:after="160"/>
      </w:pPr>
    </w:p>
    <w:p w14:paraId="45ADC7DF" w14:textId="77777777" w:rsidR="007368F9" w:rsidRDefault="00000000">
      <w:pPr>
        <w:pStyle w:val="Heading1"/>
        <w:pBdr>
          <w:bottom w:val="single" w:sz="6" w:space="4" w:color="2563EB"/>
        </w:pBdr>
      </w:pPr>
      <w:r>
        <w:t>9. Risk Profile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000"/>
      </w:tblGrid>
      <w:tr w:rsidR="007368F9" w14:paraId="640F8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99CD0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Risk Dimension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1B97E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60020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Supporting Evidence</w:t>
            </w:r>
          </w:p>
        </w:tc>
      </w:tr>
      <w:tr w:rsidR="007368F9" w14:paraId="0DC51C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50083" w14:textId="77777777" w:rsidR="007368F9" w:rsidRDefault="00000000">
            <w:r>
              <w:rPr>
                <w:color w:val="374151"/>
                <w:sz w:val="20"/>
                <w:szCs w:val="20"/>
              </w:rPr>
              <w:t>Overfitting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170A3" w14:textId="77777777" w:rsidR="007368F9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B0F41" w14:textId="77777777" w:rsidR="007368F9" w:rsidRDefault="00000000">
            <w:r>
              <w:rPr>
                <w:color w:val="374151"/>
                <w:sz w:val="20"/>
                <w:szCs w:val="20"/>
              </w:rPr>
              <w:t>22 walk-forward retrains; parameters set by convention not optimisation; robust across stop/cost variations</w:t>
            </w:r>
          </w:p>
        </w:tc>
      </w:tr>
      <w:tr w:rsidR="007368F9" w14:paraId="2D795E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D5375D" w14:textId="77777777" w:rsidR="007368F9" w:rsidRDefault="00000000">
            <w:r>
              <w:rPr>
                <w:color w:val="374151"/>
                <w:sz w:val="20"/>
                <w:szCs w:val="20"/>
              </w:rPr>
              <w:t>Market regime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9E405" w14:textId="77777777" w:rsidR="007368F9" w:rsidRDefault="00000000">
            <w:r>
              <w:rPr>
                <w:color w:val="374151"/>
                <w:sz w:val="20"/>
                <w:szCs w:val="20"/>
              </w:rPr>
              <w:t>Moderate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D699D" w14:textId="77777777" w:rsidR="007368F9" w:rsidRDefault="00000000">
            <w:r>
              <w:rPr>
                <w:color w:val="374151"/>
                <w:sz w:val="20"/>
                <w:szCs w:val="20"/>
              </w:rPr>
              <w:t>Underperforms in narrow large-cap rallies (2024); breadth scaling partially mitigates this</w:t>
            </w:r>
          </w:p>
        </w:tc>
      </w:tr>
      <w:tr w:rsidR="007368F9" w14:paraId="46CFBC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257B0" w14:textId="77777777" w:rsidR="007368F9" w:rsidRDefault="00000000">
            <w:r>
              <w:rPr>
                <w:color w:val="374151"/>
                <w:sz w:val="20"/>
                <w:szCs w:val="20"/>
              </w:rPr>
              <w:t>Drawdown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AB4EF" w14:textId="77777777" w:rsidR="007368F9" w:rsidRDefault="00000000">
            <w:r>
              <w:rPr>
                <w:color w:val="374151"/>
                <w:sz w:val="20"/>
                <w:szCs w:val="20"/>
              </w:rPr>
              <w:t>Moderate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BFEEE" w14:textId="77777777" w:rsidR="007368F9" w:rsidRDefault="00000000">
            <w:r>
              <w:rPr>
                <w:color w:val="374151"/>
                <w:sz w:val="20"/>
                <w:szCs w:val="20"/>
              </w:rPr>
              <w:t>-31% max drawdown in COVID; subsequent drawdowns all &lt;17%</w:t>
            </w:r>
          </w:p>
        </w:tc>
      </w:tr>
      <w:tr w:rsidR="007368F9" w14:paraId="75837E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2B550" w14:textId="77777777" w:rsidR="007368F9" w:rsidRDefault="00000000">
            <w:r>
              <w:rPr>
                <w:color w:val="374151"/>
                <w:sz w:val="20"/>
                <w:szCs w:val="20"/>
              </w:rPr>
              <w:t>Liquidity risk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28A56" w14:textId="77777777" w:rsidR="007368F9" w:rsidRDefault="00000000">
            <w:r>
              <w:rPr>
                <w:color w:val="374151"/>
                <w:sz w:val="20"/>
                <w:szCs w:val="20"/>
              </w:rPr>
              <w:t>Low-Moderate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20200" w14:textId="77777777" w:rsidR="007368F9" w:rsidRDefault="00000000">
            <w:r>
              <w:rPr>
                <w:color w:val="374151"/>
                <w:sz w:val="20"/>
                <w:szCs w:val="20"/>
              </w:rPr>
              <w:t>Some small-cap names may have limited liquidity; OHLC/4 execution is conservative</w:t>
            </w:r>
          </w:p>
        </w:tc>
      </w:tr>
      <w:tr w:rsidR="007368F9" w14:paraId="0D6789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9D648" w14:textId="77777777" w:rsidR="007368F9" w:rsidRDefault="00000000">
            <w:r>
              <w:rPr>
                <w:color w:val="374151"/>
                <w:sz w:val="20"/>
                <w:szCs w:val="20"/>
              </w:rPr>
              <w:t>Overfitting (ML)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E6764" w14:textId="77777777" w:rsidR="007368F9" w:rsidRDefault="00000000">
            <w:r>
              <w:rPr>
                <w:color w:val="374151"/>
                <w:sz w:val="20"/>
                <w:szCs w:val="20"/>
              </w:rPr>
              <w:t>Low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13C00" w14:textId="77777777" w:rsidR="007368F9" w:rsidRDefault="00000000">
            <w:r>
              <w:rPr>
                <w:color w:val="374151"/>
                <w:sz w:val="20"/>
                <w:szCs w:val="20"/>
              </w:rPr>
              <w:t xml:space="preserve">Shallow trees (depth 4), heavy regularisation, </w:t>
            </w:r>
            <w:proofErr w:type="spellStart"/>
            <w:r>
              <w:rPr>
                <w:color w:val="374151"/>
                <w:sz w:val="20"/>
                <w:szCs w:val="20"/>
              </w:rPr>
              <w:t>min_child_weight</w:t>
            </w:r>
            <w:proofErr w:type="spellEnd"/>
            <w:r>
              <w:rPr>
                <w:color w:val="374151"/>
                <w:sz w:val="20"/>
                <w:szCs w:val="20"/>
              </w:rPr>
              <w:t>=40 prevents data memorisation</w:t>
            </w:r>
          </w:p>
        </w:tc>
      </w:tr>
      <w:tr w:rsidR="007368F9" w14:paraId="300AD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7EC2E" w14:textId="77777777" w:rsidR="007368F9" w:rsidRDefault="00000000">
            <w:r>
              <w:rPr>
                <w:color w:val="374151"/>
                <w:sz w:val="20"/>
                <w:szCs w:val="20"/>
              </w:rPr>
              <w:t>Look-ahead bias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C7B73" w14:textId="77777777" w:rsidR="007368F9" w:rsidRDefault="00000000">
            <w:r>
              <w:rPr>
                <w:color w:val="374151"/>
                <w:sz w:val="20"/>
                <w:szCs w:val="20"/>
              </w:rPr>
              <w:t>None detected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8C357" w14:textId="77777777" w:rsidR="007368F9" w:rsidRDefault="00000000">
            <w:r>
              <w:rPr>
                <w:color w:val="374151"/>
                <w:sz w:val="20"/>
                <w:szCs w:val="20"/>
              </w:rPr>
              <w:t>Strict T+1 execution; label excluded from live scoring; retrains exclude recent 21 days</w:t>
            </w:r>
          </w:p>
        </w:tc>
      </w:tr>
      <w:tr w:rsidR="007368F9" w14:paraId="2993E2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48ADD" w14:textId="77777777" w:rsidR="007368F9" w:rsidRDefault="00000000">
            <w:r>
              <w:rPr>
                <w:color w:val="374151"/>
                <w:sz w:val="20"/>
                <w:szCs w:val="20"/>
              </w:rPr>
              <w:t>Cost sensitivity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00F1D" w14:textId="77777777" w:rsidR="007368F9" w:rsidRDefault="00000000">
            <w:r>
              <w:rPr>
                <w:color w:val="374151"/>
                <w:sz w:val="20"/>
                <w:szCs w:val="20"/>
              </w:rPr>
              <w:t>Manageable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00824F" w14:textId="77777777" w:rsidR="007368F9" w:rsidRDefault="00000000">
            <w:r>
              <w:rPr>
                <w:color w:val="374151"/>
                <w:sz w:val="20"/>
                <w:szCs w:val="20"/>
              </w:rPr>
              <w:t>Strategy remains profitable up to 4x the required transaction cost level</w:t>
            </w:r>
          </w:p>
        </w:tc>
      </w:tr>
    </w:tbl>
    <w:p w14:paraId="2954B06C" w14:textId="77777777" w:rsidR="007368F9" w:rsidRDefault="007368F9">
      <w:pPr>
        <w:spacing w:after="160"/>
      </w:pPr>
    </w:p>
    <w:p w14:paraId="3100D795" w14:textId="77777777" w:rsidR="007368F9" w:rsidRDefault="00000000">
      <w:pPr>
        <w:pStyle w:val="Heading1"/>
        <w:pBdr>
          <w:bottom w:val="single" w:sz="6" w:space="4" w:color="2563EB"/>
        </w:pBdr>
      </w:pPr>
      <w:r>
        <w:lastRenderedPageBreak/>
        <w:t>10. Conclusion</w:t>
      </w:r>
    </w:p>
    <w:p w14:paraId="085B3963" w14:textId="77777777" w:rsidR="007368F9" w:rsidRDefault="00000000">
      <w:pPr>
        <w:spacing w:after="160"/>
        <w:jc w:val="both"/>
      </w:pPr>
      <w:r>
        <w:rPr>
          <w:color w:val="374151"/>
        </w:rPr>
        <w:t>The strategy delivered a 26.7% CAGR over the out-of-sample period (2020–2025), outperforming the Nifty 500 benchmark by approximately 9.6 percentage points per year. It achieved this with a Sharpe ratio of 1.69, an Information Ratio of 0.64, and zero negative 5-year rolling windows against the benchmark.</w:t>
      </w:r>
    </w:p>
    <w:p w14:paraId="2EB53EAB" w14:textId="77777777" w:rsidR="007368F9" w:rsidRDefault="007368F9">
      <w:pPr>
        <w:spacing w:after="80"/>
      </w:pPr>
    </w:p>
    <w:p w14:paraId="7A31E655" w14:textId="77777777" w:rsidR="007368F9" w:rsidRDefault="00000000">
      <w:pPr>
        <w:spacing w:after="160"/>
        <w:jc w:val="both"/>
      </w:pPr>
      <w:r>
        <w:rPr>
          <w:color w:val="374151"/>
        </w:rPr>
        <w:t>The results are robust across a wide range of stress scenarios. The strategy is particularly sensitive to transaction costs (as expected for a short-term momentum approach) but comfortable at the competition's prescribed cost level. Stop-loss width, exposure scaling, and universe composition can all be varied significantly without materially impairing performance.</w:t>
      </w:r>
    </w:p>
    <w:p w14:paraId="675E3E44" w14:textId="77777777" w:rsidR="007368F9" w:rsidRDefault="007368F9">
      <w:pPr>
        <w:spacing w:after="80"/>
      </w:pPr>
    </w:p>
    <w:p w14:paraId="2587AC6B" w14:textId="77777777" w:rsidR="007368F9" w:rsidRDefault="00000000">
      <w:pPr>
        <w:spacing w:after="160"/>
        <w:jc w:val="both"/>
      </w:pPr>
      <w:r>
        <w:rPr>
          <w:color w:val="374151"/>
        </w:rPr>
        <w:t xml:space="preserve">The key sources of alpha are: (1) cross-sectional momentum combined with volume confirmation, (2) market-breadth-adaptive exposure that reduces risk in downturns, and (3) the walk-forward </w:t>
      </w:r>
      <w:proofErr w:type="spellStart"/>
      <w:r>
        <w:rPr>
          <w:color w:val="374151"/>
        </w:rPr>
        <w:t>XGBoost</w:t>
      </w:r>
      <w:proofErr w:type="spellEnd"/>
      <w:r>
        <w:rPr>
          <w:color w:val="374151"/>
        </w:rPr>
        <w:t xml:space="preserve"> model that learns non-linear combinations of these signals. Together, these create a strategy that participates strongly in bull markets while defending capital during corrections.</w:t>
      </w:r>
    </w:p>
    <w:p w14:paraId="60EE460F" w14:textId="77777777" w:rsidR="007368F9" w:rsidRDefault="007368F9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00"/>
      </w:tblGrid>
      <w:tr w:rsidR="007368F9" w14:paraId="4FC23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28857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Final Scorecard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531BE" w14:textId="77777777" w:rsidR="007368F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368F9" w14:paraId="4D379F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612F5" w14:textId="77777777" w:rsidR="007368F9" w:rsidRDefault="00000000">
            <w:r>
              <w:rPr>
                <w:color w:val="374151"/>
                <w:sz w:val="20"/>
                <w:szCs w:val="20"/>
              </w:rPr>
              <w:t>OOS CAGR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22F26" w14:textId="77777777" w:rsidR="007368F9" w:rsidRDefault="00000000">
            <w:r>
              <w:rPr>
                <w:color w:val="374151"/>
                <w:sz w:val="20"/>
                <w:szCs w:val="20"/>
              </w:rPr>
              <w:t>26.69%</w:t>
            </w:r>
          </w:p>
        </w:tc>
      </w:tr>
      <w:tr w:rsidR="007368F9" w14:paraId="5DFD1E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F30D6" w14:textId="77777777" w:rsidR="007368F9" w:rsidRDefault="00000000">
            <w:r>
              <w:rPr>
                <w:color w:val="374151"/>
                <w:sz w:val="20"/>
                <w:szCs w:val="20"/>
              </w:rPr>
              <w:t>OOS Alpha vs Nifty 500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168C5" w14:textId="77777777" w:rsidR="007368F9" w:rsidRDefault="00000000">
            <w:r>
              <w:rPr>
                <w:color w:val="374151"/>
                <w:sz w:val="20"/>
                <w:szCs w:val="20"/>
              </w:rPr>
              <w:t>+9.58% p.a.</w:t>
            </w:r>
          </w:p>
        </w:tc>
      </w:tr>
      <w:tr w:rsidR="007368F9" w14:paraId="315D17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6429E" w14:textId="77777777" w:rsidR="007368F9" w:rsidRDefault="00000000">
            <w:r>
              <w:rPr>
                <w:color w:val="374151"/>
                <w:sz w:val="20"/>
                <w:szCs w:val="20"/>
              </w:rPr>
              <w:t>Sharpe Ratio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69133" w14:textId="77777777" w:rsidR="007368F9" w:rsidRDefault="00000000">
            <w:r>
              <w:rPr>
                <w:color w:val="374151"/>
                <w:sz w:val="20"/>
                <w:szCs w:val="20"/>
              </w:rPr>
              <w:t>1.69</w:t>
            </w:r>
          </w:p>
        </w:tc>
      </w:tr>
      <w:tr w:rsidR="007368F9" w14:paraId="49768E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3297A" w14:textId="77777777" w:rsidR="007368F9" w:rsidRDefault="00000000">
            <w:r>
              <w:rPr>
                <w:color w:val="374151"/>
                <w:sz w:val="20"/>
                <w:szCs w:val="20"/>
              </w:rPr>
              <w:t>Max Drawdown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B24FC" w14:textId="77777777" w:rsidR="007368F9" w:rsidRDefault="00000000">
            <w:r>
              <w:rPr>
                <w:color w:val="374151"/>
                <w:sz w:val="20"/>
                <w:szCs w:val="20"/>
              </w:rPr>
              <w:t>-31.14%</w:t>
            </w:r>
          </w:p>
        </w:tc>
      </w:tr>
      <w:tr w:rsidR="007368F9" w14:paraId="47457B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6118C" w14:textId="77777777" w:rsidR="007368F9" w:rsidRDefault="00000000">
            <w:r>
              <w:rPr>
                <w:color w:val="374151"/>
                <w:sz w:val="20"/>
                <w:szCs w:val="20"/>
              </w:rPr>
              <w:t>Win Rate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C181B" w14:textId="77777777" w:rsidR="007368F9" w:rsidRDefault="00000000">
            <w:r>
              <w:rPr>
                <w:color w:val="374151"/>
                <w:sz w:val="20"/>
                <w:szCs w:val="20"/>
              </w:rPr>
              <w:t>55.6%</w:t>
            </w:r>
          </w:p>
        </w:tc>
      </w:tr>
      <w:tr w:rsidR="007368F9" w14:paraId="61CC42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DB6B9" w14:textId="77777777" w:rsidR="007368F9" w:rsidRDefault="00000000">
            <w:r>
              <w:rPr>
                <w:color w:val="374151"/>
                <w:sz w:val="20"/>
                <w:szCs w:val="20"/>
              </w:rPr>
              <w:t>Information Ratio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7C8BA" w14:textId="77777777" w:rsidR="007368F9" w:rsidRDefault="00000000">
            <w:r>
              <w:rPr>
                <w:color w:val="374151"/>
                <w:sz w:val="20"/>
                <w:szCs w:val="20"/>
              </w:rPr>
              <w:t>0.64</w:t>
            </w:r>
          </w:p>
        </w:tc>
      </w:tr>
      <w:tr w:rsidR="007368F9" w14:paraId="418186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320BE" w14:textId="77777777" w:rsidR="007368F9" w:rsidRDefault="00000000">
            <w:r>
              <w:rPr>
                <w:color w:val="374151"/>
                <w:sz w:val="20"/>
                <w:szCs w:val="20"/>
              </w:rPr>
              <w:t>5-Year Rolling (worst window)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C10E9" w14:textId="77777777" w:rsidR="007368F9" w:rsidRDefault="00000000">
            <w:r>
              <w:rPr>
                <w:color w:val="374151"/>
                <w:sz w:val="20"/>
                <w:szCs w:val="20"/>
              </w:rPr>
              <w:t>+4.02% — zero negative windows</w:t>
            </w:r>
          </w:p>
        </w:tc>
      </w:tr>
      <w:tr w:rsidR="007368F9" w14:paraId="12ADDB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2438D" w14:textId="77777777" w:rsidR="007368F9" w:rsidRDefault="00000000">
            <w:r>
              <w:rPr>
                <w:color w:val="374151"/>
                <w:sz w:val="20"/>
                <w:szCs w:val="20"/>
              </w:rPr>
              <w:t>Stress test range (CAGR)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64339" w14:textId="77777777" w:rsidR="007368F9" w:rsidRDefault="00000000">
            <w:r>
              <w:rPr>
                <w:color w:val="374151"/>
                <w:sz w:val="20"/>
                <w:szCs w:val="20"/>
              </w:rPr>
              <w:t>12.3% to 32.6% across 10 scenarios</w:t>
            </w:r>
          </w:p>
        </w:tc>
      </w:tr>
    </w:tbl>
    <w:p w14:paraId="46F34DC4" w14:textId="0EA57F95" w:rsidR="007368F9" w:rsidRDefault="007368F9" w:rsidP="00087F34">
      <w:pPr>
        <w:tabs>
          <w:tab w:val="left" w:pos="7908"/>
        </w:tabs>
        <w:spacing w:before="400"/>
      </w:pPr>
    </w:p>
    <w:sectPr w:rsidR="007368F9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E3F9" w14:textId="77777777" w:rsidR="00A33178" w:rsidRDefault="00A33178">
      <w:r>
        <w:separator/>
      </w:r>
    </w:p>
  </w:endnote>
  <w:endnote w:type="continuationSeparator" w:id="0">
    <w:p w14:paraId="4C64E611" w14:textId="77777777" w:rsidR="00A33178" w:rsidRDefault="00A3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6637" w14:textId="52A145FB" w:rsidR="007368F9" w:rsidRDefault="00000000">
    <w:pPr>
      <w:pBdr>
        <w:top w:val="single" w:sz="4" w:space="4" w:color="2563EB"/>
      </w:pBdr>
      <w:tabs>
        <w:tab w:val="right" w:pos="9360"/>
      </w:tabs>
      <w:spacing w:before="120"/>
    </w:pPr>
    <w:r>
      <w:rPr>
        <w:color w:val="9CA3AF"/>
        <w:sz w:val="18"/>
        <w:szCs w:val="18"/>
      </w:rPr>
      <w:t>Kriti 2026 Competition Submission</w:t>
    </w:r>
    <w:r>
      <w:rPr>
        <w:b/>
        <w:bCs/>
        <w:color w:val="9CA3AF"/>
        <w:sz w:val="18"/>
        <w:szCs w:val="18"/>
      </w:rPr>
      <w:tab/>
    </w:r>
    <w:proofErr w:type="spellStart"/>
    <w:r>
      <w:rPr>
        <w:b/>
        <w:bCs/>
        <w:color w:val="9CA3AF"/>
        <w:sz w:val="18"/>
        <w:szCs w:val="18"/>
      </w:rPr>
      <w:t>LevUp</w:t>
    </w:r>
    <w:proofErr w:type="spellEnd"/>
    <w:r>
      <w:rPr>
        <w:b/>
        <w:bCs/>
        <w:color w:val="9CA3AF"/>
        <w:sz w:val="18"/>
        <w:szCs w:val="18"/>
      </w:rPr>
      <w:t xml:space="preserve"> | </w:t>
    </w:r>
    <w:proofErr w:type="spellStart"/>
    <w:r>
      <w:rPr>
        <w:b/>
        <w:bCs/>
        <w:color w:val="9CA3AF"/>
        <w:sz w:val="18"/>
        <w:szCs w:val="18"/>
      </w:rPr>
      <w:t>BeyondIRR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BC9D5" w14:textId="77777777" w:rsidR="00A33178" w:rsidRDefault="00A33178">
      <w:r>
        <w:separator/>
      </w:r>
    </w:p>
  </w:footnote>
  <w:footnote w:type="continuationSeparator" w:id="0">
    <w:p w14:paraId="6EA36FDF" w14:textId="77777777" w:rsidR="00A33178" w:rsidRDefault="00A33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76F59" w14:textId="77777777" w:rsidR="007368F9" w:rsidRDefault="00000000">
    <w:pPr>
      <w:pBdr>
        <w:bottom w:val="single" w:sz="4" w:space="4" w:color="2563EB"/>
      </w:pBdr>
      <w:tabs>
        <w:tab w:val="right" w:pos="9360"/>
      </w:tabs>
      <w:spacing w:after="120"/>
    </w:pPr>
    <w:r>
      <w:rPr>
        <w:color w:val="6B7280"/>
        <w:sz w:val="18"/>
        <w:szCs w:val="18"/>
      </w:rPr>
      <w:t>KRITI 2026 — Performance Report</w:t>
    </w:r>
    <w:r>
      <w:rPr>
        <w:color w:val="6B7280"/>
        <w:sz w:val="18"/>
        <w:szCs w:val="18"/>
      </w:rPr>
      <w:tab/>
      <w:t>Out-of-Sample: 2020–2025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B20C5"/>
    <w:multiLevelType w:val="hybridMultilevel"/>
    <w:tmpl w:val="1618024A"/>
    <w:lvl w:ilvl="0" w:tplc="28862ABA">
      <w:start w:val="1"/>
      <w:numFmt w:val="bullet"/>
      <w:lvlText w:val="●"/>
      <w:lvlJc w:val="left"/>
      <w:pPr>
        <w:ind w:left="720" w:hanging="360"/>
      </w:pPr>
    </w:lvl>
    <w:lvl w:ilvl="1" w:tplc="82C07B9E">
      <w:start w:val="1"/>
      <w:numFmt w:val="bullet"/>
      <w:lvlText w:val="○"/>
      <w:lvlJc w:val="left"/>
      <w:pPr>
        <w:ind w:left="1440" w:hanging="360"/>
      </w:pPr>
    </w:lvl>
    <w:lvl w:ilvl="2" w:tplc="BFF81104">
      <w:start w:val="1"/>
      <w:numFmt w:val="bullet"/>
      <w:lvlText w:val="■"/>
      <w:lvlJc w:val="left"/>
      <w:pPr>
        <w:ind w:left="2160" w:hanging="360"/>
      </w:pPr>
    </w:lvl>
    <w:lvl w:ilvl="3" w:tplc="4502D48A">
      <w:start w:val="1"/>
      <w:numFmt w:val="bullet"/>
      <w:lvlText w:val="●"/>
      <w:lvlJc w:val="left"/>
      <w:pPr>
        <w:ind w:left="2880" w:hanging="360"/>
      </w:pPr>
    </w:lvl>
    <w:lvl w:ilvl="4" w:tplc="53C0717C">
      <w:start w:val="1"/>
      <w:numFmt w:val="bullet"/>
      <w:lvlText w:val="○"/>
      <w:lvlJc w:val="left"/>
      <w:pPr>
        <w:ind w:left="3600" w:hanging="360"/>
      </w:pPr>
    </w:lvl>
    <w:lvl w:ilvl="5" w:tplc="03FC35C4">
      <w:start w:val="1"/>
      <w:numFmt w:val="bullet"/>
      <w:lvlText w:val="■"/>
      <w:lvlJc w:val="left"/>
      <w:pPr>
        <w:ind w:left="4320" w:hanging="360"/>
      </w:pPr>
    </w:lvl>
    <w:lvl w:ilvl="6" w:tplc="16FC2DAA">
      <w:start w:val="1"/>
      <w:numFmt w:val="bullet"/>
      <w:lvlText w:val="●"/>
      <w:lvlJc w:val="left"/>
      <w:pPr>
        <w:ind w:left="5040" w:hanging="360"/>
      </w:pPr>
    </w:lvl>
    <w:lvl w:ilvl="7" w:tplc="238296DE">
      <w:start w:val="1"/>
      <w:numFmt w:val="bullet"/>
      <w:lvlText w:val="●"/>
      <w:lvlJc w:val="left"/>
      <w:pPr>
        <w:ind w:left="5760" w:hanging="360"/>
      </w:pPr>
    </w:lvl>
    <w:lvl w:ilvl="8" w:tplc="67AA79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466304"/>
    <w:multiLevelType w:val="hybridMultilevel"/>
    <w:tmpl w:val="9334DDD0"/>
    <w:lvl w:ilvl="0" w:tplc="177C3D82">
      <w:start w:val="1"/>
      <w:numFmt w:val="bullet"/>
      <w:lvlText w:val="•"/>
      <w:lvlJc w:val="left"/>
      <w:pPr>
        <w:ind w:left="720" w:hanging="360"/>
      </w:pPr>
    </w:lvl>
    <w:lvl w:ilvl="1" w:tplc="0FF2FADE">
      <w:numFmt w:val="decimal"/>
      <w:lvlText w:val=""/>
      <w:lvlJc w:val="left"/>
    </w:lvl>
    <w:lvl w:ilvl="2" w:tplc="E0106430">
      <w:numFmt w:val="decimal"/>
      <w:lvlText w:val=""/>
      <w:lvlJc w:val="left"/>
    </w:lvl>
    <w:lvl w:ilvl="3" w:tplc="F6F244BC">
      <w:numFmt w:val="decimal"/>
      <w:lvlText w:val=""/>
      <w:lvlJc w:val="left"/>
    </w:lvl>
    <w:lvl w:ilvl="4" w:tplc="725CA0AC">
      <w:numFmt w:val="decimal"/>
      <w:lvlText w:val=""/>
      <w:lvlJc w:val="left"/>
    </w:lvl>
    <w:lvl w:ilvl="5" w:tplc="50DA520A">
      <w:numFmt w:val="decimal"/>
      <w:lvlText w:val=""/>
      <w:lvlJc w:val="left"/>
    </w:lvl>
    <w:lvl w:ilvl="6" w:tplc="E1C28E56">
      <w:numFmt w:val="decimal"/>
      <w:lvlText w:val=""/>
      <w:lvlJc w:val="left"/>
    </w:lvl>
    <w:lvl w:ilvl="7" w:tplc="F9FE2F4C">
      <w:numFmt w:val="decimal"/>
      <w:lvlText w:val=""/>
      <w:lvlJc w:val="left"/>
    </w:lvl>
    <w:lvl w:ilvl="8" w:tplc="029EE93E">
      <w:numFmt w:val="decimal"/>
      <w:lvlText w:val=""/>
      <w:lvlJc w:val="left"/>
    </w:lvl>
  </w:abstractNum>
  <w:num w:numId="1" w16cid:durableId="1295064625">
    <w:abstractNumId w:val="0"/>
    <w:lvlOverride w:ilvl="0">
      <w:startOverride w:val="1"/>
    </w:lvlOverride>
  </w:num>
  <w:num w:numId="2" w16cid:durableId="2439562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8F9"/>
    <w:rsid w:val="00087F34"/>
    <w:rsid w:val="001E700C"/>
    <w:rsid w:val="007368F9"/>
    <w:rsid w:val="00840837"/>
    <w:rsid w:val="00A3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231DB"/>
  <w15:docId w15:val="{25CD819F-B189-4D89-8002-16AA673F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7F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7F34"/>
  </w:style>
  <w:style w:type="paragraph" w:styleId="Footer">
    <w:name w:val="footer"/>
    <w:basedOn w:val="Normal"/>
    <w:link w:val="FooterChar"/>
    <w:uiPriority w:val="99"/>
    <w:unhideWhenUsed/>
    <w:rsid w:val="00087F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7</Pages>
  <Words>1515</Words>
  <Characters>8639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Sinha</cp:lastModifiedBy>
  <cp:revision>2</cp:revision>
  <dcterms:created xsi:type="dcterms:W3CDTF">2026-06-04T08:18:00Z</dcterms:created>
  <dcterms:modified xsi:type="dcterms:W3CDTF">2026-06-04T12:59:00Z</dcterms:modified>
</cp:coreProperties>
</file>