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3B50" w14:textId="2C63D5A3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question.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study European power plants to quantify how EU ETS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credits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—specifically (i) credit shortfalls (verified emissions exceeding allowances) and (ii) the share of free allocation—affects local, satellite-observed NO₂ around plants. The core choice is how to parameterise exposure: a discrete “policy-bite” timing versus a continuous dose (size of shortfall or free-allocation share).</w:t>
      </w:r>
    </w:p>
    <w:p w14:paraId="2E943E2F" w14:textId="4C3DF36D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Analytical approach.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will estimate plant-by-month panels with rich fixed effects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 am considering two approaches to choose from or pursue in parallel:</w:t>
      </w:r>
    </w:p>
    <w:p w14:paraId="08226DEA" w14:textId="2A6157F3" w:rsidR="00D432CC" w:rsidRPr="00D432CC" w:rsidRDefault="00D432CC" w:rsidP="00D432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Event-study / staggered DiD (discrete): treatment is the onset of a sustained shortfall or a step in free allocation. I will use modern staggered-timing estimators—Callaway &amp; Sant’Anna (2021) and Sun &amp; Abraham (2021)—to recover dynamic effects, valid aggregation, and transparent pre-trend checks.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helps with issues of confounding and endogeneity due to the discrete intervention and the clear time-based control that gives </w:t>
      </w:r>
      <w:r w:rsidR="00A90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us, but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lack statistical power.</w:t>
      </w:r>
    </w:p>
    <w:p w14:paraId="2BDF5F82" w14:textId="6E99DCE8" w:rsidR="00D432CC" w:rsidRPr="00D432CC" w:rsidRDefault="00D432CC" w:rsidP="00D432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</w:t>
      </w:r>
      <w:r w:rsidR="009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policy-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dose–response: regress monthly NO₂ on the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magnitude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shortfall and the free-allocation share with bins/splines to allow nonlinearity. This improves power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post-hoc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heterogeneity analysis but is more exposed to endogeneity because both co-move with operations and demand.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5FCC3A" w14:textId="7A351AA6" w:rsidR="00D432CC" w:rsidRPr="00D432CC" w:rsidRDefault="00D432CC" w:rsidP="004C52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Endogeneity.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issues loom large. First, operational endogeneity: shortfalls and free</w:t>
      </w:r>
      <w:r w:rsidR="004C524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shares correlate with time-varying demand. I will control for regional demand using ENTSO-E (</w:t>
      </w:r>
      <w:r w:rsidR="009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using plant-level demand / load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avoid mediating</w:t>
      </w:r>
      <w:r w:rsidR="009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impacts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add boundary-layer height, temperature, other ERA5 covariates, plant fixed effects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(perhaps encoding plant attributes)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month-year dummies.</w:t>
      </w:r>
      <w:r w:rsidRPr="00D432CC">
        <w:t xml:space="preserve"> </w:t>
      </w:r>
      <w:r w:rsidRPr="00D432CC">
        <w:rPr>
          <w:rFonts w:ascii="Times New Roman" w:hAnsi="Times New Roman" w:cs="Times New Roman"/>
        </w:rPr>
        <w:t>Second, nonlinear atmospheric chemistry: the NOₓ–NO₂–O₃ system makes the emissions-to-column mapping state-dependent; prior European evidence shows policy-linked declines but cautions about chemical/meteorological confounding [Castellanos &amp; Boersma (2012)]. To further reduce bias, I will implement a downwind–upwind wedge</w:t>
      </w:r>
      <w:r w:rsidR="006E40E0">
        <w:rPr>
          <w:rFonts w:ascii="Times New Roman" w:hAnsi="Times New Roman" w:cs="Times New Roman"/>
        </w:rPr>
        <w:t xml:space="preserve"> method</w:t>
      </w:r>
      <w:r w:rsidRPr="00D432CC">
        <w:rPr>
          <w:rFonts w:ascii="Times New Roman" w:hAnsi="Times New Roman" w:cs="Times New Roman"/>
        </w:rPr>
        <w:t xml:space="preserve">: compare downwind, wind-aligned </w:t>
      </w:r>
      <w:r w:rsidR="006E40E0">
        <w:rPr>
          <w:rFonts w:ascii="Times New Roman" w:hAnsi="Times New Roman" w:cs="Times New Roman"/>
        </w:rPr>
        <w:t xml:space="preserve">wedges </w:t>
      </w:r>
      <w:r w:rsidR="00913A20">
        <w:rPr>
          <w:rFonts w:ascii="Times New Roman" w:hAnsi="Times New Roman" w:cs="Times New Roman"/>
        </w:rPr>
        <w:t xml:space="preserve">at a set central angle (~30º) from 0km </w:t>
      </w:r>
      <w:r w:rsidR="006E40E0">
        <w:rPr>
          <w:rFonts w:ascii="Times New Roman" w:hAnsi="Times New Roman" w:cs="Times New Roman"/>
        </w:rPr>
        <w:t>up to ~20km</w:t>
      </w:r>
      <w:r w:rsidR="00913A20">
        <w:rPr>
          <w:rFonts w:ascii="Times New Roman" w:hAnsi="Times New Roman" w:cs="Times New Roman"/>
        </w:rPr>
        <w:t>,</w:t>
      </w:r>
      <w:r w:rsidRPr="00D432CC">
        <w:rPr>
          <w:rFonts w:ascii="Times New Roman" w:hAnsi="Times New Roman" w:cs="Times New Roman"/>
        </w:rPr>
        <w:t xml:space="preserve"> to upwind </w:t>
      </w:r>
      <w:r w:rsidR="006E40E0">
        <w:rPr>
          <w:rFonts w:ascii="Times New Roman" w:hAnsi="Times New Roman" w:cs="Times New Roman"/>
        </w:rPr>
        <w:t xml:space="preserve">wedges </w:t>
      </w:r>
      <w:r w:rsidR="00913A20">
        <w:rPr>
          <w:rFonts w:ascii="Times New Roman" w:hAnsi="Times New Roman" w:cs="Times New Roman"/>
        </w:rPr>
        <w:t xml:space="preserve">separated somewhat from the plant, </w:t>
      </w:r>
      <w:r w:rsidRPr="00D432CC">
        <w:rPr>
          <w:rFonts w:ascii="Times New Roman" w:hAnsi="Times New Roman" w:cs="Times New Roman"/>
        </w:rPr>
        <w:t xml:space="preserve">within </w:t>
      </w:r>
      <w:r w:rsidR="006E40E0">
        <w:rPr>
          <w:rFonts w:ascii="Times New Roman" w:hAnsi="Times New Roman" w:cs="Times New Roman"/>
        </w:rPr>
        <w:t xml:space="preserve">the </w:t>
      </w:r>
      <w:r w:rsidRPr="00D432CC">
        <w:rPr>
          <w:rFonts w:ascii="Times New Roman" w:hAnsi="Times New Roman" w:cs="Times New Roman"/>
        </w:rPr>
        <w:t>plant-month</w:t>
      </w:r>
      <w:r w:rsidR="006E40E0">
        <w:rPr>
          <w:rFonts w:ascii="Times New Roman" w:hAnsi="Times New Roman" w:cs="Times New Roman"/>
        </w:rPr>
        <w:t xml:space="preserve"> to derive an average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</m:oMath>
      <w:r w:rsidR="006E40E0">
        <w:rPr>
          <w:rFonts w:ascii="Times New Roman" w:eastAsiaTheme="minorEastAsia" w:hAnsi="Times New Roman" w:cs="Times New Roman"/>
        </w:rPr>
        <w:t>NO</w:t>
      </w:r>
      <w:r w:rsidR="006E40E0" w:rsidRPr="00D432CC">
        <w:rPr>
          <w:rFonts w:ascii="Times New Roman" w:hAnsi="Times New Roman" w:cs="Times New Roman"/>
        </w:rPr>
        <w:t>₂</w:t>
      </w:r>
      <w:r w:rsidR="006E40E0">
        <w:rPr>
          <w:rFonts w:ascii="Times New Roman" w:hAnsi="Times New Roman" w:cs="Times New Roman"/>
        </w:rPr>
        <w:t xml:space="preserve"> change in the upwind and downwind sector</w:t>
      </w:r>
      <w:r w:rsidR="00913A20">
        <w:rPr>
          <w:rFonts w:ascii="Times New Roman" w:hAnsi="Times New Roman" w:cs="Times New Roman"/>
        </w:rPr>
        <w:t>.</w:t>
      </w:r>
      <w:r w:rsidR="006E40E0">
        <w:rPr>
          <w:rFonts w:ascii="Times New Roman" w:hAnsi="Times New Roman" w:cs="Times New Roman"/>
        </w:rPr>
        <w:t xml:space="preserve"> </w:t>
      </w:r>
      <w:r w:rsidR="00913A20">
        <w:rPr>
          <w:rFonts w:ascii="Times New Roman" w:hAnsi="Times New Roman" w:cs="Times New Roman"/>
        </w:rPr>
        <w:t xml:space="preserve">I will use this </w:t>
      </w:r>
      <w:r w:rsidR="006E40E0">
        <w:rPr>
          <w:rFonts w:ascii="Times New Roman" w:hAnsi="Times New Roman" w:cs="Times New Roman"/>
        </w:rPr>
        <w:t>as the exposure</w:t>
      </w:r>
      <w:r w:rsidR="00913A20">
        <w:rPr>
          <w:rFonts w:ascii="Times New Roman" w:hAnsi="Times New Roman" w:cs="Times New Roman"/>
        </w:rPr>
        <w:t xml:space="preserve">, </w:t>
      </w:r>
      <w:r w:rsidR="006E40E0">
        <w:rPr>
          <w:rFonts w:ascii="Times New Roman" w:hAnsi="Times New Roman" w:cs="Times New Roman"/>
        </w:rPr>
        <w:t>filtering calm-wind cases out completely (</w:t>
      </w:r>
      <w:r w:rsidR="00913A20">
        <w:rPr>
          <w:rFonts w:ascii="Times New Roman" w:hAnsi="Times New Roman" w:cs="Times New Roman"/>
        </w:rPr>
        <w:t>using previous studies to inform thresholds and distances</w:t>
      </w:r>
      <w:r w:rsidR="006E40E0">
        <w:rPr>
          <w:rFonts w:ascii="Times New Roman" w:hAnsi="Times New Roman" w:cs="Times New Roman"/>
        </w:rPr>
        <w:t>)</w:t>
      </w:r>
      <w:r w:rsidRPr="00D432CC">
        <w:rPr>
          <w:rFonts w:ascii="Times New Roman" w:hAnsi="Times New Roman" w:cs="Times New Roman"/>
        </w:rPr>
        <w:t xml:space="preserve">. This follows two directly relevant precedents. Beirle &amp; Wagner develop wind-sector sorting (including calm-wind flags), using ERA5 winds and sector-wise downwind patterns to isolate plumes. Their method explicitly fits opposing wind directions to stabilise inference from downwind evolution—supporting a wedge-style contrast. Likewise, Fioletov et al. link satellite NO₂ to ERA5 winds (0–1 km layer) and model separate industrial, urban, and background components, showing how wind speed/direction and background separation can be incorporated—the ingredients </w:t>
      </w:r>
      <w:r w:rsidR="006E40E0">
        <w:rPr>
          <w:rFonts w:ascii="Times New Roman" w:hAnsi="Times New Roman" w:cs="Times New Roman"/>
        </w:rPr>
        <w:t>my</w:t>
      </w:r>
      <w:r w:rsidRPr="00D432CC">
        <w:rPr>
          <w:rFonts w:ascii="Times New Roman" w:hAnsi="Times New Roman" w:cs="Times New Roman"/>
        </w:rPr>
        <w:t xml:space="preserve"> wedge</w:t>
      </w:r>
      <w:r w:rsidR="006E40E0">
        <w:rPr>
          <w:rFonts w:ascii="Times New Roman" w:hAnsi="Times New Roman" w:cs="Times New Roman"/>
        </w:rPr>
        <w:t xml:space="preserve"> approach</w:t>
      </w:r>
      <w:r w:rsidRPr="00D432CC">
        <w:rPr>
          <w:rFonts w:ascii="Times New Roman" w:hAnsi="Times New Roman" w:cs="Times New Roman"/>
        </w:rPr>
        <w:t xml:space="preserve"> relies on. They also document higher columns under calm winds, </w:t>
      </w:r>
      <w:r w:rsidR="006E40E0">
        <w:rPr>
          <w:rFonts w:ascii="Times New Roman" w:hAnsi="Times New Roman" w:cs="Times New Roman"/>
        </w:rPr>
        <w:t>supporting</w:t>
      </w:r>
      <w:r w:rsidRPr="00D432CC">
        <w:rPr>
          <w:rFonts w:ascii="Times New Roman" w:hAnsi="Times New Roman" w:cs="Times New Roman"/>
        </w:rPr>
        <w:t xml:space="preserve"> </w:t>
      </w:r>
      <w:r w:rsidR="006E40E0">
        <w:rPr>
          <w:rFonts w:ascii="Times New Roman" w:hAnsi="Times New Roman" w:cs="Times New Roman"/>
        </w:rPr>
        <w:t>a</w:t>
      </w:r>
      <w:r w:rsidRPr="00D432CC">
        <w:rPr>
          <w:rFonts w:ascii="Times New Roman" w:hAnsi="Times New Roman" w:cs="Times New Roman"/>
        </w:rPr>
        <w:t xml:space="preserve"> calm-wind screen.</w:t>
      </w:r>
      <w:r w:rsidR="004C5243">
        <w:rPr>
          <w:rFonts w:ascii="Times New Roman" w:hAnsi="Times New Roman" w:cs="Times New Roman"/>
        </w:rPr>
        <w:t xml:space="preserve"> To further reduce bias, I plan to allocate pixels which fall within the downwind wedges of multiple plants to the closest, preventing double-counting the wedges and the obvious unit-interaction of plumes from the sources overlapping.</w:t>
      </w:r>
    </w:p>
    <w:p w14:paraId="7D2AAA47" w14:textId="0E402F3B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Causal embedding controls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 will include representation-based controls to capture high-dimensional 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geospatial / climate features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learnt representation embeddings for encoding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causal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been applied previously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[Veitch et al. (2019)], 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well as 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specifically for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high-dimensional DiD adjustment [Zimmert (2018)], and robust tabular embeddings 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Causal Inference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Specifically,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will use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AlphaEarth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embeddings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dataset 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recently released by Google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compact controls for local physical context and </w:t>
      </w:r>
      <w:r w:rsidR="006E4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climate patterns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reducing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retaining confounding signal [AlphaEarth (dataset)].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will likely have to do dimensionality reduction e.g PCA to these embeddings to reduce dimensionality further.</w:t>
      </w:r>
    </w:p>
    <w:p w14:paraId="68D3647F" w14:textId="41353D92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Nonlinear estimation.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Alongside linear panels, I will explore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(time-permitting)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neural-network / neural additive model with fixed effects to flexibly capture interactions (e.g., climate × season × regional demand).</w:t>
      </w:r>
    </w:p>
    <w:p w14:paraId="10C33BF9" w14:textId="1877F21C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Positioning / </w:t>
      </w:r>
      <w:r w:rsidR="004746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Gaps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Satellite verification has detected policy-driven plant-level reductions—e.g., China’s ultra-low-emissions retrofits show measurable average declines from space [Jiao et al. (2020)]. Europe documents large NOₓ drops tied to policy [Castellanos &amp; Boersma (2012)]. The gap here is a plant-level,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parameterised-policy mechanism</w:t>
      </w:r>
      <w:r w:rsidR="0047464A"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</w:t>
      </w:r>
      <w:r w:rsidR="0047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using a formal causal framework for attributing local emmissions changes rather than large, regional observational decreases.</w:t>
      </w:r>
    </w:p>
    <w:p w14:paraId="2CE07F26" w14:textId="77777777" w:rsidR="00D432CC" w:rsidRPr="00D432CC" w:rsidRDefault="008709A9" w:rsidP="00D432C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9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808A2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7A976B" w14:textId="77777777" w:rsidR="00D432CC" w:rsidRPr="00D432CC" w:rsidRDefault="00D432CC" w:rsidP="00D432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Bibliography</w:t>
      </w:r>
    </w:p>
    <w:p w14:paraId="690FA9B4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[Castellanos &amp; Boersma (2012)] Reductions in nitrogen oxides over Europe driven by environmental policy and economic recession.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Scientific Reports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EE4352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Callaway, B. &amp; Sant’Anna, P. H. C. (2021). Difference-in-Differences with multiple time periods.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Econometrics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996DF8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Sun, L. &amp; Abraham, S. (2021). Estimating dynamic treatment effects in event studies.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Econometrics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1C7A05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[Jiao et al. (2020)] Satellite verification of ultra-low emission reduction effect of coal-fired power plants.</w:t>
      </w:r>
    </w:p>
    <w:p w14:paraId="7381CAC2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[Valin et al. (2013)] Rapid NO₂ changes via wind-rotated plume alignment.</w:t>
      </w:r>
    </w:p>
    <w:p w14:paraId="554C767A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[de Foy et al. (2015)] Wind-rotated plume analysis and background treatment.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ACP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(preprint).</w:t>
      </w:r>
    </w:p>
    <w:p w14:paraId="716A05DA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[Goldberg et al. (2019)] Wind-aligned satellite NO₂ for source attribution.</w:t>
      </w:r>
    </w:p>
    <w:p w14:paraId="0B6F6CBE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[Beirle &amp; Wagner (2024)] Wedge-style downwind selection and diagnostics. </w:t>
      </w:r>
      <w:r w:rsidRPr="00D432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AMT</w:t>
      </w: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17:1145.</w:t>
      </w:r>
    </w:p>
    <w:p w14:paraId="4CAB61C1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[NASA NTRS (2015)] Wind levels/thresholds for satellite NO₂ plumes (Doc 20150019770).</w:t>
      </w:r>
    </w:p>
    <w:p w14:paraId="65D213CF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[Veitch et al. (2019)] Adapting Text Embeddings for Causal Inference. arXiv:1905.12741.</w:t>
      </w:r>
    </w:p>
    <w:p w14:paraId="474EDF37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[Zimmert (2018)] Efficient DiD with High-Dimensional Common Trend Confounding. arXiv:1809.01643.</w:t>
      </w:r>
    </w:p>
    <w:p w14:paraId="2AC467FD" w14:textId="77777777" w:rsidR="00D432CC" w:rsidRPr="00D432CC" w:rsidRDefault="00D432CC" w:rsidP="00D432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[AlphaEarth (dataset)] Foundation geospatial–meteorological embeddings for causal adjustment.</w:t>
      </w:r>
    </w:p>
    <w:p w14:paraId="72B4D4D4" w14:textId="77777777" w:rsidR="0026511F" w:rsidRPr="00D432CC" w:rsidRDefault="0026511F" w:rsidP="00D432CC"/>
    <w:sectPr w:rsidR="0026511F" w:rsidRPr="00D4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6CB"/>
    <w:multiLevelType w:val="multilevel"/>
    <w:tmpl w:val="B10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A7E43"/>
    <w:multiLevelType w:val="multilevel"/>
    <w:tmpl w:val="699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E3B42"/>
    <w:multiLevelType w:val="multilevel"/>
    <w:tmpl w:val="1C4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97B15"/>
    <w:multiLevelType w:val="multilevel"/>
    <w:tmpl w:val="32BA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2765A"/>
    <w:multiLevelType w:val="multilevel"/>
    <w:tmpl w:val="6D42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30966"/>
    <w:multiLevelType w:val="multilevel"/>
    <w:tmpl w:val="85D8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76042">
    <w:abstractNumId w:val="3"/>
  </w:num>
  <w:num w:numId="2" w16cid:durableId="277611054">
    <w:abstractNumId w:val="1"/>
  </w:num>
  <w:num w:numId="3" w16cid:durableId="896815385">
    <w:abstractNumId w:val="5"/>
  </w:num>
  <w:num w:numId="4" w16cid:durableId="552927983">
    <w:abstractNumId w:val="0"/>
  </w:num>
  <w:num w:numId="5" w16cid:durableId="2136554490">
    <w:abstractNumId w:val="4"/>
  </w:num>
  <w:num w:numId="6" w16cid:durableId="161482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4D"/>
    <w:rsid w:val="0026511F"/>
    <w:rsid w:val="00273B26"/>
    <w:rsid w:val="0040124D"/>
    <w:rsid w:val="0047464A"/>
    <w:rsid w:val="004C5243"/>
    <w:rsid w:val="006E40E0"/>
    <w:rsid w:val="008709A9"/>
    <w:rsid w:val="00911DDD"/>
    <w:rsid w:val="00913A20"/>
    <w:rsid w:val="00A048F7"/>
    <w:rsid w:val="00A90DB1"/>
    <w:rsid w:val="00AD259B"/>
    <w:rsid w:val="00BC2840"/>
    <w:rsid w:val="00D432CC"/>
    <w:rsid w:val="00E8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D41"/>
  <w15:chartTrackingRefBased/>
  <w15:docId w15:val="{3F5B45C3-2289-1843-8144-5A9EC426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2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124D"/>
    <w:rPr>
      <w:b/>
      <w:bCs/>
    </w:rPr>
  </w:style>
  <w:style w:type="character" w:styleId="Emphasis">
    <w:name w:val="Emphasis"/>
    <w:basedOn w:val="DefaultParagraphFont"/>
    <w:uiPriority w:val="20"/>
    <w:qFormat/>
    <w:rsid w:val="0040124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E40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aa5507</dc:creator>
  <cp:keywords/>
  <dc:description/>
  <cp:lastModifiedBy>aa5507</cp:lastModifiedBy>
  <cp:revision>4</cp:revision>
  <dcterms:created xsi:type="dcterms:W3CDTF">2025-10-22T23:44:00Z</dcterms:created>
  <dcterms:modified xsi:type="dcterms:W3CDTF">2025-10-23T00:53:00Z</dcterms:modified>
</cp:coreProperties>
</file>