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hyperlink r:id="rId20">
        <w:r>
          <w:rPr>
            <w:rStyle w:val="Hyperlink"/>
          </w:rPr>
          <w:t xml:space="preserve">Eleanor</w:t>
        </w:r>
        <w:r>
          <w:rPr>
            <w:rStyle w:val="Hyperlink"/>
          </w:rPr>
          <w:t xml:space="preserve"> </w:t>
        </w:r>
        <w:r>
          <w:rPr>
            <w:rStyle w:val="Hyperlink"/>
          </w:rPr>
          <w:t xml:space="preserve">Roosevelt</w:t>
        </w:r>
      </w:hyperlink>
    </w:p>
    <w:p>
      <w:pPr>
        <w:pStyle w:val="Author"/>
      </w:pPr>
      <w:hyperlink r:id="rId21">
        <w:r>
          <w:rPr>
            <w:rStyle w:val="Hyperlink"/>
          </w:rPr>
          <w:t xml:space="preserve">John</w:t>
        </w:r>
        <w:r>
          <w:rPr>
            <w:rStyle w:val="Hyperlink"/>
          </w:rPr>
          <w:t xml:space="preserve"> </w:t>
        </w:r>
        <w:r>
          <w:rPr>
            <w:rStyle w:val="Hyperlink"/>
          </w:rPr>
          <w:t xml:space="preserve">Peters</w:t>
        </w:r>
        <w:r>
          <w:rPr>
            <w:rStyle w:val="Hyperlink"/>
          </w:rPr>
          <w:t xml:space="preserve"> </w:t>
        </w:r>
        <w:r>
          <w:rPr>
            <w:rStyle w:val="Hyperlink"/>
          </w:rPr>
          <w:t xml:space="preserve">Humphrey</w:t>
        </w:r>
      </w:hyperlink>
    </w:p>
    <w:p>
      <w:pPr>
        <w:pStyle w:val="Date"/>
      </w:pPr>
      <w:r>
        <w:t xml:space="preserve">1</w:t>
      </w:r>
      <w:r>
        <w:t xml:space="preserve"> </w:t>
      </w:r>
      <w:r>
        <w:t xml:space="preserve">January</w:t>
      </w:r>
      <w:r>
        <w:t xml:space="preserve"> </w:t>
      </w:r>
      <w:r>
        <w:t xml:space="preserve">2023</w:t>
      </w:r>
    </w:p>
    <w:p>
      <w:pPr>
        <w:pStyle w:val="AbstractTitle"/>
      </w:pPr>
      <w:r>
        <w:t xml:space="preserve">Abstract</w:t>
      </w:r>
    </w:p>
    <w:p>
      <w:pPr>
        <w:pStyle w:val="Abstract"/>
      </w:pP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8" w:name="heading-1"/>
    <w:p>
      <w:pPr>
        <w:pStyle w:val="Heading1"/>
      </w:pPr>
      <w:r>
        <w:t xml:space="preserve">Heading 1</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4"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3"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2"/>
    <w:bookmarkEnd w:id="23"/>
    <w:bookmarkEnd w:id="24"/>
    <w:bookmarkStart w:id="25" w:name="bold"/>
    <w:p>
      <w:pPr>
        <w:pStyle w:val="Heading2"/>
      </w:pPr>
      <w:r>
        <w:t xml:space="preserve">Bold</w:t>
      </w:r>
    </w:p>
    <w:p>
      <w:pPr>
        <w:pStyle w:val="FirstParagraph"/>
      </w:pPr>
      <w:r>
        <w:rPr>
          <w:b/>
          <w:bCs/>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5"/>
    <w:bookmarkStart w:id="26" w:name="italic"/>
    <w:p>
      <w:pPr>
        <w:pStyle w:val="Heading2"/>
      </w:pPr>
      <w:r>
        <w:t xml:space="preserve">Italic</w:t>
      </w:r>
    </w:p>
    <w:p>
      <w:pPr>
        <w:pStyle w:val="FirstParagraph"/>
      </w:pPr>
      <w:r>
        <w:rPr>
          <w:i/>
          <w:iCs/>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6"/>
    <w:bookmarkStart w:id="27" w:name="bold-and-italic"/>
    <w:p>
      <w:pPr>
        <w:pStyle w:val="Heading2"/>
      </w:pPr>
      <w:r>
        <w:t xml:space="preserve">Bold and italic</w:t>
      </w:r>
    </w:p>
    <w:p>
      <w:pPr>
        <w:pStyle w:val="FirstParagraph"/>
      </w:pPr>
      <w:r>
        <w:rPr>
          <w:b/>
          <w:bCs/>
          <w:i/>
          <w:iCs/>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7"/>
    <w:bookmarkStart w:id="28"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8"/>
    <w:bookmarkStart w:id="29" w:name="numbered-lists"/>
    <w:p>
      <w:pPr>
        <w:pStyle w:val="Heading2"/>
      </w:pPr>
      <w:r>
        <w:t xml:space="preserve">Numbered lists</w:t>
      </w:r>
    </w:p>
    <w:p>
      <w:pPr>
        <w:pStyle w:val="Compact"/>
        <w:numPr>
          <w:ilvl w:val="0"/>
          <w:numId w:val="1001"/>
        </w:numPr>
      </w:pPr>
      <w:r>
        <w:t xml:space="preserve">All human beings are born free and equal in dignity and rights.</w:t>
      </w:r>
    </w:p>
    <w:p>
      <w:pPr>
        <w:pStyle w:val="Compact"/>
        <w:numPr>
          <w:ilvl w:val="0"/>
          <w:numId w:val="1001"/>
        </w:numPr>
      </w:pPr>
      <w:r>
        <w:t xml:space="preserve">All human beings are born free and equal in dignity and rights.</w:t>
      </w:r>
    </w:p>
    <w:p>
      <w:pPr>
        <w:pStyle w:val="Compact"/>
        <w:numPr>
          <w:ilvl w:val="0"/>
          <w:numId w:val="1001"/>
        </w:numPr>
      </w:pPr>
      <w:r>
        <w:t xml:space="preserve">All human beings are born free and equal in dignity and rights.</w:t>
      </w:r>
    </w:p>
    <w:p>
      <w:pPr>
        <w:pStyle w:val="Compact"/>
        <w:numPr>
          <w:ilvl w:val="0"/>
          <w:numId w:val="1001"/>
        </w:numPr>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0" w:name="unnumbered-lists"/>
    <w:p>
      <w:pPr>
        <w:pStyle w:val="Heading2"/>
      </w:pPr>
      <w:r>
        <w:t xml:space="preserve">Unnumbered lists</w:t>
      </w:r>
    </w:p>
    <w:p>
      <w:pPr>
        <w:pStyle w:val="Compact"/>
        <w:numPr>
          <w:ilvl w:val="0"/>
          <w:numId w:val="1002"/>
        </w:numPr>
      </w:pPr>
      <w:r>
        <w:t xml:space="preserve">All human beings are born free and equal in dignity and rights.</w:t>
      </w:r>
    </w:p>
    <w:p>
      <w:pPr>
        <w:pStyle w:val="Compact"/>
        <w:numPr>
          <w:ilvl w:val="1"/>
          <w:numId w:val="1003"/>
        </w:numPr>
      </w:pPr>
      <w:r>
        <w:t xml:space="preserve">All human beings are born free and equal in dignity and rights.</w:t>
      </w:r>
    </w:p>
    <w:p>
      <w:pPr>
        <w:pStyle w:val="Compact"/>
        <w:numPr>
          <w:ilvl w:val="0"/>
          <w:numId w:val="1002"/>
        </w:numPr>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0"/>
    <w:bookmarkStart w:id="31" w:name="mixed-lists"/>
    <w:p>
      <w:pPr>
        <w:pStyle w:val="Heading2"/>
      </w:pPr>
      <w:r>
        <w:t xml:space="preserve">Mixed lists</w:t>
      </w:r>
    </w:p>
    <w:p>
      <w:pPr>
        <w:pStyle w:val="Compact"/>
        <w:numPr>
          <w:ilvl w:val="0"/>
          <w:numId w:val="1004"/>
        </w:numPr>
      </w:pPr>
      <w:r>
        <w:t xml:space="preserve">All human beings are born free and equal in dignity and rights.</w:t>
      </w:r>
    </w:p>
    <w:p>
      <w:pPr>
        <w:pStyle w:val="Compact"/>
        <w:numPr>
          <w:ilvl w:val="1"/>
          <w:numId w:val="1005"/>
        </w:numPr>
      </w:pPr>
      <w:r>
        <w:t xml:space="preserve">All human beings are born free and equal in dignity and rights.</w:t>
      </w:r>
    </w:p>
    <w:p>
      <w:pPr>
        <w:pStyle w:val="Compact"/>
        <w:numPr>
          <w:ilvl w:val="1"/>
          <w:numId w:val="1005"/>
        </w:numPr>
      </w:pPr>
      <w:r>
        <w:t xml:space="preserve">All human beings are born free and equal in dignity and rights.</w:t>
      </w:r>
    </w:p>
    <w:p>
      <w:pPr>
        <w:pStyle w:val="Compact"/>
        <w:numPr>
          <w:ilvl w:val="0"/>
          <w:numId w:val="1004"/>
        </w:numPr>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1"/>
    <w:bookmarkStart w:id="36"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3" name="Picture"/>
            <a:graphic>
              <a:graphicData uri="http://schemas.openxmlformats.org/drawingml/2006/picture">
                <pic:pic>
                  <pic:nvPicPr>
                    <pic:cNvPr descr="images/Eleanor_Roosevelt_and_Human_Rights_Declaration.jpeg" id="34" name="Picture"/>
                    <pic:cNvPicPr>
                      <a:picLocks noChangeArrowheads="1" noChangeAspect="1"/>
                    </pic:cNvPicPr>
                  </pic:nvPicPr>
                  <pic:blipFill>
                    <a:blip r:embed="rId32"/>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Eleanor Roosevelt hält die englische Version der Allgemeinen Erklärung der Menschenrechte (FDR Presidential Library &amp; Museum, CC BY 2.0</w:t>
      </w:r>
      <w:r>
        <w:t xml:space="preserve"> </w:t>
      </w:r>
      <w:hyperlink r:id="rId35">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6"/>
    <w:bookmarkStart w:id="37"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7"/>
    <w:bookmarkStart w:id="40" w:name="urls-and-email-addresses"/>
    <w:p>
      <w:pPr>
        <w:pStyle w:val="Heading2"/>
      </w:pPr>
      <w:r>
        <w:t xml:space="preserve">URLs and email addresses</w:t>
      </w:r>
    </w:p>
    <w:p>
      <w:pPr>
        <w:pStyle w:val="FirstParagraph"/>
      </w:pPr>
      <w:hyperlink r:id="rId38">
        <w:r>
          <w:rPr>
            <w:rStyle w:val="Hyperlink"/>
          </w:rPr>
          <w:t xml:space="preserve">wikipedia.org</w:t>
        </w:r>
      </w:hyperlink>
      <w:r>
        <w:t xml:space="preserve">,</w:t>
      </w:r>
      <w:r>
        <w:t xml:space="preserve"> </w:t>
      </w:r>
      <w:hyperlink r:id="rId39">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1" w:name="tables"/>
    <w:p>
      <w:pPr>
        <w:pStyle w:val="Heading2"/>
      </w:pPr>
      <w:r>
        <w:t xml:space="preserve">Tables</w:t>
      </w:r>
    </w:p>
    <w:p>
      <w:pPr>
        <w:pStyle w:val="TableCaption"/>
      </w:pPr>
      <w:r>
        <w:t xml:space="preserve">Table caption</w:t>
      </w:r>
    </w:p>
    <w:tbl>
      <w:tblPr>
        <w:tblStyle w:val="Table"/>
        <w:tblW w:type="pct" w:w="5000"/>
        <w:jc w:val="left"/>
        <w:tblLayout w:type="fixed"/>
        <w:tblLook w:firstRow="1" w:lastRow="0" w:firstColumn="0" w:lastColumn="0" w:noHBand="0" w:noVBand="0" w:val="0020"/>
        <w:tblCaption w:val="Table caption"/>
      </w:tblPr>
      <w:tblGrid>
        <w:gridCol w:w="3960"/>
        <w:gridCol w:w="3960"/>
      </w:tblGrid>
      <w:tr>
        <w:trPr>
          <w:tblHeader w:val="on"/>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1"/>
    <w:bookmarkStart w:id="43"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2"/>
      </w:r>
    </w:p>
    <w:bookmarkEnd w:id="43"/>
    <w:bookmarkStart w:id="44"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4"/>
    <w:bookmarkStart w:id="47"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 </w:t>
      </w:r>
      <w:r>
        <w:t xml:space="preserve">United Nations</w:t>
      </w:r>
      <w:r>
        <w:rPr>
          <w:rStyle w:val="FootnoteReference"/>
        </w:rPr>
        <w:footnoteReference w:id="45"/>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6"/>
      </w:r>
    </w:p>
    <w:bookmarkEnd w:id="47"/>
    <w:bookmarkEnd w:id="48"/>
    <w:bookmarkStart w:id="52" w:name="bibliography"/>
    <w:p>
      <w:pPr>
        <w:pStyle w:val="Heading1"/>
      </w:pPr>
      <w:r>
        <w:t xml:space="preserve">Bibliography</w:t>
      </w:r>
    </w:p>
    <w:bookmarkStart w:id="51" w:name="refs"/>
    <w:bookmarkStart w:id="49" w:name="ref-brown2016"/>
    <w:p>
      <w:pPr>
        <w:pStyle w:val="Bibliography"/>
      </w:pPr>
      <w:r>
        <w:t xml:space="preserve">Brown, Gordon, ed.</w:t>
      </w:r>
      <w:r>
        <w:t xml:space="preserve"> </w:t>
      </w:r>
      <w:r>
        <w:rPr>
          <w:i/>
          <w:iCs/>
        </w:rPr>
        <w:t xml:space="preserve">The</w:t>
      </w:r>
      <w:r>
        <w:rPr>
          <w:i/>
          <w:iCs/>
        </w:rPr>
        <w:t xml:space="preserve"> </w:t>
      </w:r>
      <w:r>
        <w:rPr>
          <w:i/>
          <w:iCs/>
        </w:rPr>
        <w:t xml:space="preserve">Universal</w:t>
      </w:r>
      <w:r>
        <w:rPr>
          <w:i/>
          <w:iCs/>
        </w:rPr>
        <w:t xml:space="preserve"> </w:t>
      </w:r>
      <w:r>
        <w:rPr>
          <w:i/>
          <w:iCs/>
        </w:rPr>
        <w:t xml:space="preserve">Declaration</w:t>
      </w:r>
      <w:r>
        <w:rPr>
          <w:i/>
          <w:iCs/>
        </w:rPr>
        <w:t xml:space="preserve"> </w:t>
      </w:r>
      <w:r>
        <w:rPr>
          <w:i/>
          <w:iCs/>
        </w:rPr>
        <w:t xml:space="preserve">of</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in the 21st Century, a Living Document in a Changing World</w:t>
      </w:r>
      <w:r>
        <w:t xml:space="preserve">. Cambridge, [New York]: Open Book Publishers ; NYU Global Institute for Advanced Study, 2016.</w:t>
      </w:r>
    </w:p>
    <w:bookmarkEnd w:id="49"/>
    <w:bookmarkStart w:id="50" w:name="ref-unitednations1948"/>
    <w:p>
      <w:pPr>
        <w:pStyle w:val="Bibliography"/>
      </w:pPr>
      <w:r>
        <w:t xml:space="preserve">United Nations.</w:t>
      </w:r>
      <w:r>
        <w:t xml:space="preserve"> </w:t>
      </w:r>
      <w:r>
        <w:rPr>
          <w:i/>
          <w:iCs/>
        </w:rPr>
        <w:t xml:space="preserve">Universal Declaration of Human Rights</w:t>
      </w:r>
      <w:r>
        <w:t xml:space="preserve">, 1948.</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All human beings are born free and equal in dignity and rights.</w:t>
      </w:r>
    </w:p>
  </w:footnote>
  <w:footnote w:id="45">
    <w:p>
      <w:pPr>
        <w:pStyle w:val="FootnoteText"/>
      </w:pPr>
      <w:r>
        <w:rPr>
          <w:rStyle w:val="FootnoteReference"/>
        </w:rPr>
        <w:footnoteRef/>
      </w:r>
      <w:r>
        <w:t xml:space="preserve"> </w:t>
      </w:r>
      <w:r>
        <w:rPr>
          <w:i/>
          <w:iCs/>
        </w:rPr>
        <w:t xml:space="preserve">Universal Declaration of Human Rights</w:t>
      </w:r>
      <w:r>
        <w:t xml:space="preserve">.</w:t>
      </w:r>
    </w:p>
  </w:footnote>
  <w:footnote w:id="46">
    <w:p>
      <w:pPr>
        <w:pStyle w:val="FootnoteText"/>
      </w:pPr>
      <w:r>
        <w:rPr>
          <w:rStyle w:val="FootnoteReference"/>
        </w:rPr>
        <w:footnoteRef/>
      </w:r>
      <w:r>
        <w:t xml:space="preserve"> </w:t>
      </w:r>
      <w:r>
        <w:t xml:space="preserve">United Nations.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Eleanor Roosevelt; John Peters Humphrey</dc:creator>
  <cp:category/>
  <dc:description/>
  <dc:language>en-US</dc:language>
  <dc:subject/>
  <cp:keywords/>
  <dcterms:created xsi:type="dcterms:W3CDTF">2024-02-14T10:46:03Z</dcterms:created>
  <dcterms:modified xsi:type="dcterms:W3CDTF">2024-02-14T10:46:03Z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