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693B40" w:rsidRPr="00A8238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 xml:space="preserve">GRIDSHIELD </w:t>
            </w:r>
            <w:r w:rsidR="00A82380"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>-</w:t>
            </w:r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 xml:space="preserve"> TECHNICAL APPENDIX</w:t>
            </w:r>
          </w:p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B8C8D8"/>
                <w:sz w:val="18"/>
                <w:szCs w:val="18"/>
              </w:rPr>
              <w:t>Model Specifications · Assumptions · Methodology · Validation · Sensitivity Analysis</w:t>
            </w:r>
          </w:p>
          <w:p w:rsidR="00693B40" w:rsidRPr="00A82380" w:rsidRDefault="00000000">
            <w:pPr>
              <w:jc w:val="center"/>
              <w:rPr>
                <w:lang w:val="es-ES"/>
              </w:rPr>
            </w:pPr>
            <w:r w:rsidRPr="00A82380">
              <w:rPr>
                <w:rFonts w:ascii="Arial" w:eastAsia="Arial" w:hAnsi="Arial" w:cs="Arial"/>
                <w:color w:val="90A8C0"/>
                <w:sz w:val="16"/>
                <w:szCs w:val="16"/>
                <w:lang w:val="es-ES"/>
              </w:rPr>
              <w:t xml:space="preserve">Lumina Energy, Suburban Mumbai  |  Decode X 2026  |  </w:t>
            </w:r>
            <w:r w:rsidR="00A82380" w:rsidRPr="00A82380">
              <w:rPr>
                <w:rFonts w:ascii="Arial" w:eastAsia="Arial" w:hAnsi="Arial" w:cs="Arial"/>
                <w:color w:val="90A8C0"/>
                <w:sz w:val="16"/>
                <w:szCs w:val="16"/>
                <w:lang w:val="es-ES"/>
              </w:rPr>
              <w:t>Superios</w:t>
            </w:r>
          </w:p>
        </w:tc>
      </w:tr>
    </w:tbl>
    <w:p w:rsidR="00693B40" w:rsidRPr="00A82380" w:rsidRDefault="00693B40">
      <w:pPr>
        <w:spacing w:after="200"/>
        <w:rPr>
          <w:lang w:val="es-ES"/>
        </w:rPr>
      </w:pPr>
    </w:p>
    <w:p w:rsidR="00693B40" w:rsidRDefault="00000000">
      <w:pPr>
        <w:pBdr>
          <w:bottom w:val="single" w:sz="6" w:space="4" w:color="0D7377"/>
        </w:pBdr>
        <w:spacing w:before="280" w:after="100"/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A.  Model Architecture &amp; Specifications</w:t>
      </w: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A.1  Algorithm Selection Rationale</w:t>
      </w:r>
    </w:p>
    <w:p w:rsidR="00693B40" w:rsidRDefault="00000000">
      <w:pPr>
        <w:spacing w:after="8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Primary Algorithm: </w:t>
      </w:r>
      <w:proofErr w:type="spellStart"/>
      <w:r>
        <w:rPr>
          <w:rFonts w:ascii="Arial" w:eastAsia="Arial" w:hAnsi="Arial" w:cs="Arial"/>
          <w:color w:val="1A1A2E"/>
          <w:sz w:val="19"/>
          <w:szCs w:val="19"/>
        </w:rPr>
        <w:t>HistGradientBoostingRegressor</w:t>
      </w:r>
      <w:proofErr w:type="spellEnd"/>
      <w:r>
        <w:rPr>
          <w:rFonts w:ascii="Arial" w:eastAsia="Arial" w:hAnsi="Arial" w:cs="Arial"/>
          <w:color w:val="1A1A2E"/>
          <w:sz w:val="19"/>
          <w:szCs w:val="19"/>
        </w:rPr>
        <w:t xml:space="preserve"> (</w:t>
      </w:r>
      <w:proofErr w:type="spellStart"/>
      <w:r>
        <w:rPr>
          <w:rFonts w:ascii="Arial" w:eastAsia="Arial" w:hAnsi="Arial" w:cs="Arial"/>
          <w:color w:val="1A1A2E"/>
          <w:sz w:val="19"/>
          <w:szCs w:val="19"/>
        </w:rPr>
        <w:t>sklearn</w:t>
      </w:r>
      <w:proofErr w:type="spellEnd"/>
      <w:r>
        <w:rPr>
          <w:rFonts w:ascii="Arial" w:eastAsia="Arial" w:hAnsi="Arial" w:cs="Arial"/>
          <w:color w:val="1A1A2E"/>
          <w:sz w:val="19"/>
          <w:szCs w:val="19"/>
        </w:rPr>
        <w:t>). Selected because: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Native quantile loss support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directly minimises pinball loss, which is mathematically equivalent to the expected ABT penalty under the newsvendor framework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Handles missing values without imputation (critical for weather data gaps)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Scales to 280K+ training rows without memory issues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Robust to non-linear feature interactions (load-temperature, hour-day cross-effects)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Supports sample weights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enabling future period-specific cost weighting</w:t>
      </w:r>
    </w:p>
    <w:p w:rsidR="00693B40" w:rsidRDefault="00693B40"/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A.2  Model Variants Deployed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2400"/>
        <w:gridCol w:w="3560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Quantile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Deployment Period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Justification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Q67 (Stage 1 Peak)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 = 0.667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Peak 6–10 PM, Stage 1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q* = 4/(4+2) = 0.667 under Stage 1 penalty (Rs. 4 under / Rs. 2 over)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Q67 (Off-Peak)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 = 0.667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Off-Peak, all stages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Off-peak penalty unchanged (Rs. 4/Rs. 2) </w:t>
            </w:r>
            <w:r w:rsidR="00A82380">
              <w:rPr>
                <w:rFonts w:ascii="Arial" w:eastAsia="Arial" w:hAnsi="Arial" w:cs="Arial"/>
                <w:color w:val="1A1A2E"/>
                <w:sz w:val="17"/>
                <w:szCs w:val="17"/>
              </w:rPr>
              <w:t>-</w:t>
            </w: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 optimal quantile invariant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Q75 (Stage 2+ Peak)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 = 0.750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Peak 6–10 PM, Stage 2–3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q* = 6/(6+2) = 0.750 after Rs. 6 under-forecast escalation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Adaptive Floor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P90 floor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Peak from Day 3 onward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Corrects lag contamination; 90th pct of 2–10 day trailing actuals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Mean Model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 = 0.500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Reference / hybrid baseline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Used in off-peak hybrid to minimise over-procurement penalty</w:t>
            </w:r>
          </w:p>
        </w:tc>
      </w:tr>
    </w:tbl>
    <w:p w:rsidR="00693B40" w:rsidRDefault="00693B40">
      <w:pPr>
        <w:spacing w:after="12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A.3  Feature Engineering 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t>-</w:t>
      </w: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 40+ Features Across 6 Categories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Feature Category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Features Included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Temporal Cyclicals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HOUR_SIN, HOUR_COS, DAY_OF_WEEK_SIN, DAY_OF_WEEK_COS, MONTH_SIN, MONTH_COS (sin/cos encoding preserves cyclical distance)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Lagged Load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load_t_192 (2-day lag), load_t_672 (7-day lag) </w:t>
            </w:r>
            <w:r w:rsidR="00A82380">
              <w:rPr>
                <w:rFonts w:ascii="Arial" w:eastAsia="Arial" w:hAnsi="Arial" w:cs="Arial"/>
                <w:color w:val="1A1A2E"/>
                <w:sz w:val="17"/>
                <w:szCs w:val="17"/>
              </w:rPr>
              <w:t>-</w:t>
            </w: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 minimum 48h offset to respect 2-day-ahead constraint; all leakage-free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Rolling Statistics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Rolling mean/std at 1h, 6h, 24h, 7d windows; computed from training tail for test intervals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Weather &amp; Interactions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Temperature, humidity, rainfall, windspeed; interaction terms: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temp×hour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temp×is_peak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humidity×temp</w:t>
            </w:r>
            <w:proofErr w:type="spellEnd"/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COVID Structural Breaks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8 one-hot flags (Lockdown_1 through Unlock_6.0) encoding Maharashtra ABT demand regime phases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Calendar &amp; Event Flags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is_weekend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is_holiday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is_peak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is_monsoon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, month dummies;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cyclone_tauktae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 flag for Stage 2 event detection</w:t>
            </w:r>
          </w:p>
        </w:tc>
      </w:tr>
    </w:tbl>
    <w:p w:rsidR="00693B40" w:rsidRDefault="00693B40">
      <w:pPr>
        <w:spacing w:after="12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A.4  Hyperparameters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Parameter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lastRenderedPageBreak/>
              <w:t>max_iter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500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Early stopping with patience=20 to prevent overfitting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learning_rate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0.05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Conservative to prevent overfitting on long training history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max_depth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6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Balanced complexity vs interpretability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min_samples_leaf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20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Regularisation; prevents overfitting on rare events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loss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'quantile'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Pinball loss for q=0.667 or q=0.750 as applicable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quantile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0.667 / 0.750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Set per deployment period per newsvendor formula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n_iter_no_change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20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Early stopping patience in intervals</w:t>
            </w:r>
          </w:p>
        </w:tc>
      </w:tr>
    </w:tbl>
    <w:p w:rsidR="00693B40" w:rsidRDefault="00000000">
      <w:r>
        <w:br w:type="page"/>
      </w:r>
    </w:p>
    <w:p w:rsidR="00693B40" w:rsidRDefault="00000000">
      <w:pPr>
        <w:pBdr>
          <w:bottom w:val="single" w:sz="6" w:space="4" w:color="0D7377"/>
        </w:pBdr>
        <w:spacing w:before="280" w:after="100"/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lastRenderedPageBreak/>
        <w:t>B.  Key Assumptions</w:t>
      </w: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B.1  Regulatory &amp; Cost Assumptions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br/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Stage 1: Under-forecast penalty = Rs. 4/kWh (all hours), Over-forecast = Rs. 2/kWh (all hours)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Stage 2–3: Under-forecast at peak (6–10 PM) = Rs. 6/kWh; all other rates unchanged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Newsvendor optimality condition applies: q* = </w:t>
      </w:r>
      <w:proofErr w:type="spellStart"/>
      <w:r>
        <w:rPr>
          <w:rFonts w:ascii="Arial" w:eastAsia="Arial" w:hAnsi="Arial" w:cs="Arial"/>
          <w:color w:val="1A1A2E"/>
          <w:sz w:val="19"/>
          <w:szCs w:val="19"/>
        </w:rPr>
        <w:t>c_under</w:t>
      </w:r>
      <w:proofErr w:type="spellEnd"/>
      <w:r>
        <w:rPr>
          <w:rFonts w:ascii="Arial" w:eastAsia="Arial" w:hAnsi="Arial" w:cs="Arial"/>
          <w:color w:val="1A1A2E"/>
          <w:sz w:val="19"/>
          <w:szCs w:val="19"/>
        </w:rPr>
        <w:t xml:space="preserve"> / (</w:t>
      </w:r>
      <w:proofErr w:type="spellStart"/>
      <w:r>
        <w:rPr>
          <w:rFonts w:ascii="Arial" w:eastAsia="Arial" w:hAnsi="Arial" w:cs="Arial"/>
          <w:color w:val="1A1A2E"/>
          <w:sz w:val="19"/>
          <w:szCs w:val="19"/>
        </w:rPr>
        <w:t>c_under</w:t>
      </w:r>
      <w:proofErr w:type="spellEnd"/>
      <w:r>
        <w:rPr>
          <w:rFonts w:ascii="Arial" w:eastAsia="Arial" w:hAnsi="Arial" w:cs="Arial"/>
          <w:color w:val="1A1A2E"/>
          <w:sz w:val="19"/>
          <w:szCs w:val="19"/>
        </w:rPr>
        <w:t xml:space="preserve"> + </w:t>
      </w:r>
      <w:proofErr w:type="spellStart"/>
      <w:r>
        <w:rPr>
          <w:rFonts w:ascii="Arial" w:eastAsia="Arial" w:hAnsi="Arial" w:cs="Arial"/>
          <w:color w:val="1A1A2E"/>
          <w:sz w:val="19"/>
          <w:szCs w:val="19"/>
        </w:rPr>
        <w:t>c_over</w:t>
      </w:r>
      <w:proofErr w:type="spellEnd"/>
      <w:r>
        <w:rPr>
          <w:rFonts w:ascii="Arial" w:eastAsia="Arial" w:hAnsi="Arial" w:cs="Arial"/>
          <w:color w:val="1A1A2E"/>
          <w:sz w:val="19"/>
          <w:szCs w:val="19"/>
        </w:rPr>
        <w:t>) is the unique penalty-minimising quantile in the long run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ABT penalty is linear in deviation magnitude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no threshold effects or caps assumed unless specified by Board</w:t>
      </w:r>
    </w:p>
    <w:p w:rsidR="00693B40" w:rsidRDefault="00693B40">
      <w:pPr>
        <w:spacing w:after="8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B.2  Temporal &amp; Forecasting Assumptions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br/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All forecasts are 2-day-ahead (48-hour horizon) at 15-minute resolution, as required by SLDC submission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Lag feature minimum offset = 192 intervals (48 hours)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strictly no lookahead into test-period actuals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Weather variables at test time are treated as known (from weather forecast inputs, as is standard in competition evaluation)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COVID phase for test period (May 2021) identified as Unlock_6.0 (partial commercial reopening)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no event CSV provided; phase inferred from publicly verifiable Maharashtra government orders</w:t>
      </w:r>
    </w:p>
    <w:p w:rsidR="00693B40" w:rsidRDefault="00693B40">
      <w:pPr>
        <w:spacing w:after="8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B.3  Adaptive Floor Assumptions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br/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Floor mechanism activates from Day 3 onward (minimum 2 calendar days of test observations required)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Floor computed as 90th percentile of same clock-hour observations in 2–10 day trailing window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Floor is a lower bound only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final forecast = max(Q75 model output, floor); floor is never binding if model is already above it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Floor references only observations at least 2 calendar days prior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fully consistent with 2-day-ahead protocol, zero leakage</w:t>
      </w:r>
    </w:p>
    <w:p w:rsidR="00693B40" w:rsidRDefault="00693B40">
      <w:pPr>
        <w:spacing w:after="200"/>
      </w:pPr>
    </w:p>
    <w:p w:rsidR="00693B40" w:rsidRDefault="00000000">
      <w:pPr>
        <w:pBdr>
          <w:bottom w:val="single" w:sz="6" w:space="4" w:color="0D7377"/>
        </w:pBdr>
        <w:spacing w:before="280" w:after="100"/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 xml:space="preserve">C.  Methodology </w:t>
      </w:r>
      <w:r w:rsidR="00A82380">
        <w:rPr>
          <w:rFonts w:ascii="Arial" w:eastAsia="Arial" w:hAnsi="Arial" w:cs="Arial"/>
          <w:b/>
          <w:bCs/>
          <w:color w:val="1B2A4A"/>
          <w:sz w:val="28"/>
          <w:szCs w:val="28"/>
        </w:rPr>
        <w:t>-</w:t>
      </w:r>
      <w:r>
        <w:rPr>
          <w:rFonts w:ascii="Arial" w:eastAsia="Arial" w:hAnsi="Arial" w:cs="Arial"/>
          <w:b/>
          <w:bCs/>
          <w:color w:val="1B2A4A"/>
          <w:sz w:val="28"/>
          <w:szCs w:val="28"/>
        </w:rPr>
        <w:t xml:space="preserve"> End-to-End Pipeline</w:t>
      </w: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C.1  Stage 1 Pipeline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"/>
        <w:gridCol w:w="2204"/>
        <w:gridCol w:w="6545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Module</w:t>
            </w:r>
          </w:p>
        </w:tc>
        <w:tc>
          <w:tcPr>
            <w:tcW w:w="6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01_data_preprocessing.py</w:t>
            </w:r>
          </w:p>
        </w:tc>
        <w:tc>
          <w:tcPr>
            <w:tcW w:w="6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Load merge (electric load + weather), quality checks, feature engineering (40+ features), COVID phase one-hot encoding, sin/cos cyclical transforms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02_eda_visualization.py</w:t>
            </w:r>
          </w:p>
        </w:tc>
        <w:tc>
          <w:tcPr>
            <w:tcW w:w="6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4-panel EDA: load-time overview, weather relationships, model calibration chart, strategy decision map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03_model_training.py</w:t>
            </w:r>
          </w:p>
        </w:tc>
        <w:tc>
          <w:tcPr>
            <w:tcW w:w="6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Temporal 80/20 train-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val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 split (no shuffling),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HistGBR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 training for Q50, Q67, Mean models, pinball loss optimisation, </w:t>
            </w:r>
            <w:proofErr w:type="spellStart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backtest</w:t>
            </w:r>
            <w:proofErr w:type="spellEnd"/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 xml:space="preserve"> penalty report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7"/>
                <w:szCs w:val="17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04_forecast_output.py</w:t>
            </w:r>
          </w:p>
        </w:tc>
        <w:tc>
          <w:tcPr>
            <w:tcW w:w="6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Hybrid deployment: Q67 at peak, Mean off-peak (Stage 1), forecast CSV generation, penalty validation</w:t>
            </w:r>
          </w:p>
        </w:tc>
      </w:tr>
    </w:tbl>
    <w:p w:rsidR="00693B40" w:rsidRDefault="00693B40">
      <w:pPr>
        <w:spacing w:after="12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C.2  Stage 2 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t>-</w:t>
      </w: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 Recalibration Under Shock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br/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Regulatory recalibration: q* formula reapplied → q=0.750 for peak hours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Full training set retrain: 100% of historical data used (vs 80% in Stage 1)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no validation holdout needed since test set is genuinely out-of-time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lastRenderedPageBreak/>
        <w:t xml:space="preserve">Regime shift documentation: Break the Chain phases and Cyclone </w:t>
      </w:r>
      <w:proofErr w:type="spellStart"/>
      <w:r>
        <w:rPr>
          <w:rFonts w:ascii="Arial" w:eastAsia="Arial" w:hAnsi="Arial" w:cs="Arial"/>
          <w:color w:val="1A1A2E"/>
          <w:sz w:val="19"/>
          <w:szCs w:val="19"/>
        </w:rPr>
        <w:t>Tauktae</w:t>
      </w:r>
      <w:proofErr w:type="spellEnd"/>
      <w:r>
        <w:rPr>
          <w:rFonts w:ascii="Arial" w:eastAsia="Arial" w:hAnsi="Arial" w:cs="Arial"/>
          <w:color w:val="1A1A2E"/>
          <w:sz w:val="19"/>
          <w:szCs w:val="19"/>
        </w:rPr>
        <w:t xml:space="preserve"> empirically identified from data signals (temperature anomaly, rainfall spikes, load-weekday elasticity compression)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Lag contamination analysis: RMSE jump explained by load_t_192 referencing April 2021 full-lockdown values for May 2021 partial-unlock test period</w:t>
      </w:r>
    </w:p>
    <w:p w:rsidR="00693B40" w:rsidRDefault="00693B40">
      <w:pPr>
        <w:spacing w:after="8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C.3  Stage 3 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t>-</w:t>
      </w: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 Constraint Compliance &amp; Adaptive Floor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br/>
      </w:r>
    </w:p>
    <w:p w:rsidR="00693B40" w:rsidRDefault="00000000">
      <w:pPr>
        <w:spacing w:after="80"/>
      </w:pPr>
      <w:r>
        <w:rPr>
          <w:rFonts w:ascii="Arial" w:eastAsia="Arial" w:hAnsi="Arial" w:cs="Arial"/>
          <w:color w:val="1A1A2E"/>
          <w:sz w:val="19"/>
          <w:szCs w:val="19"/>
        </w:rPr>
        <w:t>The adaptive floor mechanism pseudo-code:</w:t>
      </w:r>
    </w:p>
    <w:p w:rsidR="00693B40" w:rsidRDefault="00000000">
      <w:pPr>
        <w:shd w:val="clear" w:color="auto" w:fill="F7FAFC"/>
        <w:spacing w:after="40"/>
      </w:pPr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For each peak-hour interval </w:t>
      </w:r>
      <w:proofErr w:type="spellStart"/>
      <w:r>
        <w:rPr>
          <w:rFonts w:ascii="Courier New" w:eastAsia="Courier New" w:hAnsi="Courier New" w:cs="Courier New"/>
          <w:color w:val="2D3748"/>
          <w:sz w:val="17"/>
          <w:szCs w:val="17"/>
        </w:rPr>
        <w:t>t on</w:t>
      </w:r>
      <w:proofErr w:type="spellEnd"/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 day d &gt;= 3:</w:t>
      </w:r>
    </w:p>
    <w:p w:rsidR="00693B40" w:rsidRDefault="00000000">
      <w:pPr>
        <w:shd w:val="clear" w:color="auto" w:fill="F7FAFC"/>
        <w:spacing w:after="40"/>
      </w:pPr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D3748"/>
          <w:sz w:val="17"/>
          <w:szCs w:val="17"/>
        </w:rPr>
        <w:t>lookback_actuals</w:t>
      </w:r>
      <w:proofErr w:type="spellEnd"/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D3748"/>
          <w:sz w:val="17"/>
          <w:szCs w:val="17"/>
        </w:rPr>
        <w:t>peak_actuals</w:t>
      </w:r>
      <w:proofErr w:type="spellEnd"/>
      <w:r>
        <w:rPr>
          <w:rFonts w:ascii="Courier New" w:eastAsia="Courier New" w:hAnsi="Courier New" w:cs="Courier New"/>
          <w:color w:val="2D3748"/>
          <w:sz w:val="17"/>
          <w:szCs w:val="17"/>
        </w:rPr>
        <w:t>[</w:t>
      </w:r>
      <w:proofErr w:type="spellStart"/>
      <w:r>
        <w:rPr>
          <w:rFonts w:ascii="Courier New" w:eastAsia="Courier New" w:hAnsi="Courier New" w:cs="Courier New"/>
          <w:color w:val="2D3748"/>
          <w:sz w:val="17"/>
          <w:szCs w:val="17"/>
        </w:rPr>
        <w:t>same_hour</w:t>
      </w:r>
      <w:proofErr w:type="spellEnd"/>
      <w:r>
        <w:rPr>
          <w:rFonts w:ascii="Courier New" w:eastAsia="Courier New" w:hAnsi="Courier New" w:cs="Courier New"/>
          <w:color w:val="2D3748"/>
          <w:sz w:val="17"/>
          <w:szCs w:val="17"/>
        </w:rPr>
        <w:t>, d-10 to d-2]</w:t>
      </w:r>
    </w:p>
    <w:p w:rsidR="00693B40" w:rsidRDefault="00000000">
      <w:pPr>
        <w:shd w:val="clear" w:color="auto" w:fill="F7FAFC"/>
        <w:spacing w:after="40"/>
      </w:pPr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  floor = percentile(</w:t>
      </w:r>
      <w:proofErr w:type="spellStart"/>
      <w:r>
        <w:rPr>
          <w:rFonts w:ascii="Courier New" w:eastAsia="Courier New" w:hAnsi="Courier New" w:cs="Courier New"/>
          <w:color w:val="2D3748"/>
          <w:sz w:val="17"/>
          <w:szCs w:val="17"/>
        </w:rPr>
        <w:t>lookback_actuals</w:t>
      </w:r>
      <w:proofErr w:type="spellEnd"/>
      <w:r>
        <w:rPr>
          <w:rFonts w:ascii="Courier New" w:eastAsia="Courier New" w:hAnsi="Courier New" w:cs="Courier New"/>
          <w:color w:val="2D3748"/>
          <w:sz w:val="17"/>
          <w:szCs w:val="17"/>
        </w:rPr>
        <w:t>, q=90)</w:t>
      </w:r>
    </w:p>
    <w:p w:rsidR="00693B40" w:rsidRDefault="00000000">
      <w:pPr>
        <w:shd w:val="clear" w:color="auto" w:fill="F7FAFC"/>
        <w:spacing w:after="40"/>
      </w:pPr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  stage3_forecast[t] = max(Q75_model_output[t], floor)</w:t>
      </w:r>
    </w:p>
    <w:p w:rsidR="00693B40" w:rsidRDefault="00693B40">
      <w:pPr>
        <w:spacing w:after="80"/>
      </w:pPr>
    </w:p>
    <w:p w:rsidR="00693B40" w:rsidRDefault="00000000">
      <w:pPr>
        <w:spacing w:after="80"/>
      </w:pPr>
      <w:r>
        <w:rPr>
          <w:rFonts w:ascii="Arial" w:eastAsia="Arial" w:hAnsi="Arial" w:cs="Arial"/>
          <w:color w:val="1A1A2E"/>
          <w:sz w:val="19"/>
          <w:szCs w:val="19"/>
        </w:rPr>
        <w:t>Parametric constraint feasibility proof:</w:t>
      </w:r>
    </w:p>
    <w:p w:rsidR="00693B40" w:rsidRDefault="00000000">
      <w:pPr>
        <w:shd w:val="clear" w:color="auto" w:fill="F7FAFC"/>
        <w:spacing w:after="40"/>
      </w:pPr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C2 satisfied </w:t>
      </w:r>
      <w:proofErr w:type="spellStart"/>
      <w:r>
        <w:rPr>
          <w:rFonts w:ascii="Courier New" w:eastAsia="Courier New" w:hAnsi="Courier New" w:cs="Courier New"/>
          <w:color w:val="2D3748"/>
          <w:sz w:val="17"/>
          <w:szCs w:val="17"/>
        </w:rPr>
        <w:t>iff</w:t>
      </w:r>
      <w:proofErr w:type="spellEnd"/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 uplift &gt;= 18%  (verified by scanning u in [0%, 25%])</w:t>
      </w:r>
    </w:p>
    <w:p w:rsidR="00693B40" w:rsidRDefault="00000000">
      <w:pPr>
        <w:shd w:val="clear" w:color="auto" w:fill="F7FAFC"/>
        <w:spacing w:after="40"/>
      </w:pPr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C3+C4 satisfied </w:t>
      </w:r>
      <w:proofErr w:type="spellStart"/>
      <w:r>
        <w:rPr>
          <w:rFonts w:ascii="Courier New" w:eastAsia="Courier New" w:hAnsi="Courier New" w:cs="Courier New"/>
          <w:color w:val="2D3748"/>
          <w:sz w:val="17"/>
          <w:szCs w:val="17"/>
        </w:rPr>
        <w:t>iff</w:t>
      </w:r>
      <w:proofErr w:type="spellEnd"/>
      <w:r>
        <w:rPr>
          <w:rFonts w:ascii="Courier New" w:eastAsia="Courier New" w:hAnsi="Courier New" w:cs="Courier New"/>
          <w:color w:val="2D3748"/>
          <w:sz w:val="17"/>
          <w:szCs w:val="17"/>
        </w:rPr>
        <w:t xml:space="preserve"> uplift &lt;= 3%</w:t>
      </w:r>
    </w:p>
    <w:p w:rsidR="00693B40" w:rsidRDefault="00000000">
      <w:pPr>
        <w:shd w:val="clear" w:color="auto" w:fill="F7FAFC"/>
        <w:spacing w:after="40"/>
      </w:pPr>
      <w:r>
        <w:rPr>
          <w:rFonts w:ascii="Courier New" w:eastAsia="Courier New" w:hAnsi="Courier New" w:cs="Courier New"/>
          <w:color w:val="2D3748"/>
          <w:sz w:val="17"/>
          <w:szCs w:val="17"/>
        </w:rPr>
        <w:t>18% &gt; 3% =&gt; C2 INFEASIBLE simultaneously with C3+C4 under force-majeure demand shift</w:t>
      </w:r>
    </w:p>
    <w:p w:rsidR="00693B40" w:rsidRDefault="00000000">
      <w:r>
        <w:br w:type="page"/>
      </w:r>
    </w:p>
    <w:p w:rsidR="00693B40" w:rsidRDefault="00000000">
      <w:pPr>
        <w:pBdr>
          <w:bottom w:val="single" w:sz="6" w:space="4" w:color="0D7377"/>
        </w:pBdr>
        <w:spacing w:before="280" w:after="100"/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lastRenderedPageBreak/>
        <w:t>D.  Validation Approach</w:t>
      </w: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D.1  Temporal Holdout Strategy</w:t>
      </w:r>
    </w:p>
    <w:p w:rsidR="00693B40" w:rsidRDefault="00000000">
      <w:pPr>
        <w:spacing w:after="80"/>
      </w:pPr>
      <w:r>
        <w:rPr>
          <w:rFonts w:ascii="Arial" w:eastAsia="Arial" w:hAnsi="Arial" w:cs="Arial"/>
          <w:color w:val="1A1A2E"/>
          <w:sz w:val="19"/>
          <w:szCs w:val="19"/>
        </w:rPr>
        <w:t xml:space="preserve">Stage 1 used strict temporal holdout (80% train / 20% validation, no shuffling). The validation set covers September 2019 to April 2021 </w:t>
      </w:r>
      <w:r w:rsidR="00A82380">
        <w:rPr>
          <w:rFonts w:ascii="Arial" w:eastAsia="Arial" w:hAnsi="Arial" w:cs="Arial"/>
          <w:color w:val="1A1A2E"/>
          <w:sz w:val="19"/>
          <w:szCs w:val="19"/>
        </w:rPr>
        <w:t>-</w:t>
      </w:r>
      <w:r>
        <w:rPr>
          <w:rFonts w:ascii="Arial" w:eastAsia="Arial" w:hAnsi="Arial" w:cs="Arial"/>
          <w:color w:val="1A1A2E"/>
          <w:sz w:val="19"/>
          <w:szCs w:val="19"/>
        </w:rPr>
        <w:t xml:space="preserve"> an out-of-time period including COVID onset and multiple lockdown phases. No data leakage by design: all rolling features and lags use only observations available at prediction time.</w:t>
      </w:r>
    </w:p>
    <w:p w:rsidR="00693B40" w:rsidRDefault="00000000">
      <w:pPr>
        <w:spacing w:after="80"/>
      </w:pPr>
      <w:r>
        <w:rPr>
          <w:rFonts w:ascii="Arial" w:eastAsia="Arial" w:hAnsi="Arial" w:cs="Arial"/>
          <w:color w:val="1A1A2E"/>
          <w:sz w:val="19"/>
          <w:szCs w:val="19"/>
        </w:rPr>
        <w:t>Stage 2 dispensed with the held-out validation split. Rationale: the test set is genuinely out-of-time (provided externally), making an internal validation split redundant and wasteful of training signal. 100% training history maximises exposure to diverse regime patterns.</w:t>
      </w:r>
    </w:p>
    <w:p w:rsidR="00693B40" w:rsidRDefault="00693B40">
      <w:pPr>
        <w:spacing w:after="8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D.2  Leakage Verification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Lag features: minimum 192-interval (48h) offset hard-coded in preprocessing. Verified by inspecting feature indices for all test-period rows.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Rolling statistics: computed on training-only data for test-period features (no test actuals in window)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Adaptive floor: 2-calendar-day minimum lag enforced by construction. For May 5 forecast, floor references May 3 backward only.</w:t>
      </w:r>
    </w:p>
    <w:p w:rsidR="00693B4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2E"/>
          <w:sz w:val="19"/>
          <w:szCs w:val="19"/>
        </w:rPr>
        <w:t>COVID flags: set based on known regulatory dates (publicly verifiable), not derived from test-period load patterns</w:t>
      </w:r>
    </w:p>
    <w:p w:rsidR="00693B40" w:rsidRDefault="00693B40">
      <w:pPr>
        <w:spacing w:after="8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D.3  Cross-Stage Performance Comparison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187"/>
        <w:gridCol w:w="2187"/>
        <w:gridCol w:w="2186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Stage 1 (Val)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Stage 2 (Test)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Stage 3 (Test)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2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RMSE (kW)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6.43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116.28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119.17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2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MAPE (%)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0.27%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~8.5%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~8.7%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2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Total Penalty (Rs.)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6A38"/>
                <w:sz w:val="18"/>
                <w:szCs w:val="18"/>
              </w:rPr>
              <w:t>1,16,000*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6A38"/>
                <w:sz w:val="18"/>
                <w:szCs w:val="18"/>
              </w:rPr>
              <w:t>1,89,033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6A38"/>
                <w:sz w:val="18"/>
                <w:szCs w:val="18"/>
              </w:rPr>
              <w:t>1,83,336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2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Peak Penalty (Rs.)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A8238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6A38"/>
                <w:sz w:val="18"/>
                <w:szCs w:val="18"/>
              </w:rPr>
              <w:t>-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6A38"/>
                <w:sz w:val="18"/>
                <w:szCs w:val="18"/>
              </w:rPr>
              <w:t>37,323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6A38"/>
                <w:sz w:val="18"/>
                <w:szCs w:val="18"/>
              </w:rPr>
              <w:t>31,626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2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Forecast Bias (%)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~0%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+0.405%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+1.278%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2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C2 Violations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N/A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100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26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2"/>
            <w:tcMar>
              <w:top w:w="60" w:type="dxa"/>
              <w:left w:w="12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P95 Abs. Deviation (kW)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A8238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-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243.6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8"/>
                <w:szCs w:val="18"/>
              </w:rPr>
              <w:t>242.2</w:t>
            </w:r>
          </w:p>
        </w:tc>
      </w:tr>
    </w:tbl>
    <w:p w:rsidR="00693B40" w:rsidRDefault="00A82380">
      <w:pPr>
        <w:spacing w:after="80"/>
      </w:pPr>
      <w:r>
        <w:rPr>
          <w:rFonts w:ascii="Arial" w:eastAsia="Arial" w:hAnsi="Arial" w:cs="Arial"/>
          <w:color w:val="4A5568"/>
          <w:sz w:val="19"/>
          <w:szCs w:val="19"/>
        </w:rPr>
        <w:br/>
      </w:r>
      <w:r w:rsidR="00000000">
        <w:rPr>
          <w:rFonts w:ascii="Arial" w:eastAsia="Arial" w:hAnsi="Arial" w:cs="Arial"/>
          <w:color w:val="4A5568"/>
          <w:sz w:val="19"/>
          <w:szCs w:val="19"/>
        </w:rPr>
        <w:t xml:space="preserve">* Stage 1 penalty is annualised estimate from validation </w:t>
      </w:r>
      <w:proofErr w:type="spellStart"/>
      <w:r w:rsidR="00000000">
        <w:rPr>
          <w:rFonts w:ascii="Arial" w:eastAsia="Arial" w:hAnsi="Arial" w:cs="Arial"/>
          <w:color w:val="4A5568"/>
          <w:sz w:val="19"/>
          <w:szCs w:val="19"/>
        </w:rPr>
        <w:t>backtest</w:t>
      </w:r>
      <w:proofErr w:type="spellEnd"/>
      <w:r w:rsidR="00000000">
        <w:rPr>
          <w:rFonts w:ascii="Arial" w:eastAsia="Arial" w:hAnsi="Arial" w:cs="Arial"/>
          <w:color w:val="4A5568"/>
          <w:sz w:val="19"/>
          <w:szCs w:val="19"/>
        </w:rPr>
        <w:t>.</w:t>
      </w:r>
    </w:p>
    <w:p w:rsidR="00693B40" w:rsidRDefault="00000000">
      <w:r>
        <w:br w:type="page"/>
      </w:r>
    </w:p>
    <w:p w:rsidR="00693B40" w:rsidRDefault="00000000">
      <w:pPr>
        <w:pBdr>
          <w:bottom w:val="single" w:sz="6" w:space="4" w:color="0D7377"/>
        </w:pBdr>
        <w:spacing w:before="280" w:after="100"/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lastRenderedPageBreak/>
        <w:t>E.  Sensitivity Analysis</w:t>
      </w: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E.1  Optimal Quantile Sensitivity to Penalty Rate Changes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2960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c_under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(Rs/kWh)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c_over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(Rs/kWh)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Optimal q*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Stage 1 Baseline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2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0.667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D6A38"/>
                <w:sz w:val="17"/>
                <w:szCs w:val="17"/>
              </w:rPr>
              <w:t>Stage 2 Peak (current)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D6A38"/>
                <w:sz w:val="17"/>
                <w:szCs w:val="17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D6A38"/>
                <w:sz w:val="17"/>
                <w:szCs w:val="17"/>
              </w:rPr>
              <w:t>2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b/>
                <w:bCs/>
                <w:color w:val="1D6A38"/>
                <w:sz w:val="17"/>
                <w:szCs w:val="17"/>
              </w:rPr>
              <w:t>0.750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Hypothetical: Rs.8 under-peak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2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0.800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Hypothetical: Rs.10 under-peak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2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0.833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Symmetric (equal penalties)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4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0.500</w:t>
            </w:r>
          </w:p>
        </w:tc>
      </w:tr>
    </w:tbl>
    <w:p w:rsidR="00693B40" w:rsidRDefault="00693B40">
      <w:pPr>
        <w:spacing w:after="12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E.2  Constraint Feasibility Under C2 </w:t>
      </w:r>
      <w:r w:rsidR="00A82380">
        <w:rPr>
          <w:rFonts w:ascii="Arial" w:eastAsia="Arial" w:hAnsi="Arial" w:cs="Arial"/>
          <w:b/>
          <w:bCs/>
          <w:color w:val="0D7377"/>
          <w:sz w:val="22"/>
          <w:szCs w:val="22"/>
        </w:rPr>
        <w:t>-</w:t>
      </w:r>
      <w:r>
        <w:rPr>
          <w:rFonts w:ascii="Arial" w:eastAsia="Arial" w:hAnsi="Arial" w:cs="Arial"/>
          <w:b/>
          <w:bCs/>
          <w:color w:val="0D7377"/>
          <w:sz w:val="22"/>
          <w:szCs w:val="22"/>
        </w:rPr>
        <w:t xml:space="preserve"> Exhaustive Uplift Search</w:t>
      </w:r>
    </w:p>
    <w:p w:rsidR="00693B40" w:rsidRDefault="00000000">
      <w:pPr>
        <w:spacing w:after="80"/>
      </w:pPr>
      <w:r>
        <w:rPr>
          <w:rFonts w:ascii="Arial" w:eastAsia="Arial" w:hAnsi="Arial" w:cs="Arial"/>
          <w:color w:val="1A1A2E"/>
          <w:sz w:val="19"/>
          <w:szCs w:val="19"/>
        </w:rPr>
        <w:t>The following table shows the trade-off between peak uplift factor and constraint compliance, confirming the mathematical infeasibility of simultaneous C2 + C3 + C4 satisfaction: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900"/>
        <w:gridCol w:w="1900"/>
        <w:gridCol w:w="1900"/>
        <w:gridCol w:w="1660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Peak Uplift 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C2 Violations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C1 Status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C3 Bias Status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C4 Status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0% (Stage 2 baseline)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100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Fail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 (+0.41%)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 (+1.01%)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3% (Stage 3 floor)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26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Pass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Pass (+1.28%)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Pass (+1.01%)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5%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18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 (+1.69%)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 (+1.69%)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10%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 (+2.27%)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 (+2.27%)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15%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Mixed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Near limit (+2.8%)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Near limit (+2.8%)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922B21"/>
                <w:sz w:val="17"/>
                <w:szCs w:val="17"/>
              </w:rPr>
              <w:t>18% (C2 threshold)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922B21"/>
                <w:sz w:val="17"/>
                <w:szCs w:val="17"/>
              </w:rPr>
              <w:t>3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922B21"/>
                <w:sz w:val="17"/>
                <w:szCs w:val="17"/>
              </w:rPr>
              <w:t>Pass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922B21"/>
                <w:sz w:val="17"/>
                <w:szCs w:val="17"/>
              </w:rPr>
              <w:t>Fail (+3.0% exactly)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922B21"/>
                <w:sz w:val="17"/>
                <w:szCs w:val="17"/>
              </w:rPr>
              <w:t>Fail (+3.0% exactly)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20%+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Pass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Fail (&gt;+3%)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Fail (&gt;+3%)</w:t>
            </w:r>
          </w:p>
        </w:tc>
      </w:tr>
    </w:tbl>
    <w:p w:rsidR="00693B40" w:rsidRDefault="00A82380">
      <w:pPr>
        <w:spacing w:after="80"/>
      </w:pPr>
      <w:r>
        <w:rPr>
          <w:rFonts w:ascii="Arial" w:eastAsia="Arial" w:hAnsi="Arial" w:cs="Arial"/>
          <w:color w:val="4A5568"/>
          <w:sz w:val="19"/>
          <w:szCs w:val="19"/>
        </w:rPr>
        <w:br/>
      </w:r>
      <w:r w:rsidR="00000000">
        <w:rPr>
          <w:rFonts w:ascii="Arial" w:eastAsia="Arial" w:hAnsi="Arial" w:cs="Arial"/>
          <w:color w:val="4A5568"/>
          <w:sz w:val="19"/>
          <w:szCs w:val="19"/>
        </w:rPr>
        <w:t>Stage 3 Adaptive Floor strategy (3% uplift row highlighted green) is the optimal feasible solution satisfying C1, C3, C4 while maximally reducing C2 violations.</w:t>
      </w:r>
    </w:p>
    <w:p w:rsidR="00693B40" w:rsidRDefault="00693B40">
      <w:pPr>
        <w:spacing w:after="120"/>
      </w:pPr>
    </w:p>
    <w:p w:rsidR="00693B4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0D7377"/>
          <w:sz w:val="22"/>
          <w:szCs w:val="22"/>
        </w:rPr>
        <w:t>E.3  Floor Percentile Sensitivity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900"/>
        <w:gridCol w:w="1900"/>
        <w:gridCol w:w="1900"/>
        <w:gridCol w:w="1660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Floor Percentile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C2 Violations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Avg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Bias 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Peak Penalty (Rs.)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50th (median)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60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+0.6%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36,100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Too conservative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75th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40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+0.9%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34,200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Insufficient reduction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90th (selected)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26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+1.28%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D6A38"/>
                <w:sz w:val="17"/>
                <w:szCs w:val="17"/>
              </w:rPr>
              <w:t>31,626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7E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6A38"/>
                <w:sz w:val="17"/>
                <w:szCs w:val="17"/>
              </w:rPr>
              <w:t>Optimal trade-off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95th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18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+1.9%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30,100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C3/C4 risk at 2.5%</w:t>
            </w:r>
          </w:p>
        </w:tc>
      </w:tr>
      <w:tr w:rsidR="00693B40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99th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8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+2.8%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28,500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1A1A2E"/>
                <w:sz w:val="17"/>
                <w:szCs w:val="17"/>
              </w:rPr>
              <w:t>Near C3/C4 limits</w:t>
            </w:r>
          </w:p>
        </w:tc>
      </w:tr>
    </w:tbl>
    <w:p w:rsidR="00693B40" w:rsidRDefault="00693B40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93B4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93B40" w:rsidRDefault="00000000">
            <w:pPr>
              <w:jc w:val="center"/>
            </w:pPr>
            <w:r>
              <w:rPr>
                <w:rFonts w:ascii="Arial" w:eastAsia="Arial" w:hAnsi="Arial" w:cs="Arial"/>
                <w:color w:val="6B8098"/>
                <w:sz w:val="16"/>
                <w:szCs w:val="16"/>
              </w:rPr>
              <w:t xml:space="preserve">GRIDSHIELD Technical Appendix </w:t>
            </w:r>
            <w:r w:rsidR="00A82380">
              <w:rPr>
                <w:rFonts w:ascii="Arial" w:eastAsia="Arial" w:hAnsi="Arial" w:cs="Arial"/>
                <w:color w:val="6B8098"/>
                <w:sz w:val="16"/>
                <w:szCs w:val="16"/>
              </w:rPr>
              <w:t>-</w:t>
            </w:r>
            <w:r>
              <w:rPr>
                <w:rFonts w:ascii="Arial" w:eastAsia="Arial" w:hAnsi="Arial" w:cs="Arial"/>
                <w:color w:val="6B8098"/>
                <w:sz w:val="16"/>
                <w:szCs w:val="16"/>
              </w:rPr>
              <w:t xml:space="preserve"> Decode X 2026  | </w:t>
            </w:r>
            <w:r w:rsidR="00A82380">
              <w:rPr>
                <w:rFonts w:ascii="Arial" w:eastAsia="Arial" w:hAnsi="Arial" w:cs="Arial"/>
                <w:color w:val="6B8098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color w:val="6B8098"/>
                <w:sz w:val="16"/>
                <w:szCs w:val="16"/>
              </w:rPr>
              <w:t>All model outputs verified against CSV submissions</w:t>
            </w:r>
          </w:p>
        </w:tc>
      </w:tr>
    </w:tbl>
    <w:p w:rsidR="005341AB" w:rsidRDefault="005341AB"/>
    <w:sectPr w:rsidR="005341A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F2044"/>
    <w:multiLevelType w:val="hybridMultilevel"/>
    <w:tmpl w:val="2F505FEC"/>
    <w:lvl w:ilvl="0" w:tplc="69126FF0">
      <w:start w:val="1"/>
      <w:numFmt w:val="bullet"/>
      <w:lvlText w:val="•"/>
      <w:lvlJc w:val="left"/>
      <w:pPr>
        <w:ind w:left="720" w:hanging="360"/>
      </w:pPr>
    </w:lvl>
    <w:lvl w:ilvl="1" w:tplc="BF90A77E">
      <w:numFmt w:val="decimal"/>
      <w:lvlText w:val=""/>
      <w:lvlJc w:val="left"/>
    </w:lvl>
    <w:lvl w:ilvl="2" w:tplc="11EE5E9E">
      <w:numFmt w:val="decimal"/>
      <w:lvlText w:val=""/>
      <w:lvlJc w:val="left"/>
    </w:lvl>
    <w:lvl w:ilvl="3" w:tplc="65026BAA">
      <w:numFmt w:val="decimal"/>
      <w:lvlText w:val=""/>
      <w:lvlJc w:val="left"/>
    </w:lvl>
    <w:lvl w:ilvl="4" w:tplc="F08E3BBA">
      <w:numFmt w:val="decimal"/>
      <w:lvlText w:val=""/>
      <w:lvlJc w:val="left"/>
    </w:lvl>
    <w:lvl w:ilvl="5" w:tplc="D8C2226C">
      <w:numFmt w:val="decimal"/>
      <w:lvlText w:val=""/>
      <w:lvlJc w:val="left"/>
    </w:lvl>
    <w:lvl w:ilvl="6" w:tplc="E78C6636">
      <w:numFmt w:val="decimal"/>
      <w:lvlText w:val=""/>
      <w:lvlJc w:val="left"/>
    </w:lvl>
    <w:lvl w:ilvl="7" w:tplc="A80443E0">
      <w:numFmt w:val="decimal"/>
      <w:lvlText w:val=""/>
      <w:lvlJc w:val="left"/>
    </w:lvl>
    <w:lvl w:ilvl="8" w:tplc="4CF49D98">
      <w:numFmt w:val="decimal"/>
      <w:lvlText w:val=""/>
      <w:lvlJc w:val="left"/>
    </w:lvl>
  </w:abstractNum>
  <w:abstractNum w:abstractNumId="1" w15:restartNumberingAfterBreak="0">
    <w:nsid w:val="53A76953"/>
    <w:multiLevelType w:val="hybridMultilevel"/>
    <w:tmpl w:val="BD283EF0"/>
    <w:lvl w:ilvl="0" w:tplc="0C16153A">
      <w:start w:val="1"/>
      <w:numFmt w:val="bullet"/>
      <w:lvlText w:val="●"/>
      <w:lvlJc w:val="left"/>
      <w:pPr>
        <w:ind w:left="720" w:hanging="360"/>
      </w:pPr>
    </w:lvl>
    <w:lvl w:ilvl="1" w:tplc="9844ED92">
      <w:start w:val="1"/>
      <w:numFmt w:val="bullet"/>
      <w:lvlText w:val="○"/>
      <w:lvlJc w:val="left"/>
      <w:pPr>
        <w:ind w:left="1440" w:hanging="360"/>
      </w:pPr>
    </w:lvl>
    <w:lvl w:ilvl="2" w:tplc="A6523508">
      <w:start w:val="1"/>
      <w:numFmt w:val="bullet"/>
      <w:lvlText w:val="■"/>
      <w:lvlJc w:val="left"/>
      <w:pPr>
        <w:ind w:left="2160" w:hanging="360"/>
      </w:pPr>
    </w:lvl>
    <w:lvl w:ilvl="3" w:tplc="03228D2C">
      <w:start w:val="1"/>
      <w:numFmt w:val="bullet"/>
      <w:lvlText w:val="●"/>
      <w:lvlJc w:val="left"/>
      <w:pPr>
        <w:ind w:left="2880" w:hanging="360"/>
      </w:pPr>
    </w:lvl>
    <w:lvl w:ilvl="4" w:tplc="3C0038BE">
      <w:start w:val="1"/>
      <w:numFmt w:val="bullet"/>
      <w:lvlText w:val="○"/>
      <w:lvlJc w:val="left"/>
      <w:pPr>
        <w:ind w:left="3600" w:hanging="360"/>
      </w:pPr>
    </w:lvl>
    <w:lvl w:ilvl="5" w:tplc="5E5C6BA8">
      <w:start w:val="1"/>
      <w:numFmt w:val="bullet"/>
      <w:lvlText w:val="■"/>
      <w:lvlJc w:val="left"/>
      <w:pPr>
        <w:ind w:left="4320" w:hanging="360"/>
      </w:pPr>
    </w:lvl>
    <w:lvl w:ilvl="6" w:tplc="6DF84546">
      <w:start w:val="1"/>
      <w:numFmt w:val="bullet"/>
      <w:lvlText w:val="●"/>
      <w:lvlJc w:val="left"/>
      <w:pPr>
        <w:ind w:left="5040" w:hanging="360"/>
      </w:pPr>
    </w:lvl>
    <w:lvl w:ilvl="7" w:tplc="1848D3FA">
      <w:start w:val="1"/>
      <w:numFmt w:val="bullet"/>
      <w:lvlText w:val="●"/>
      <w:lvlJc w:val="left"/>
      <w:pPr>
        <w:ind w:left="5760" w:hanging="360"/>
      </w:pPr>
    </w:lvl>
    <w:lvl w:ilvl="8" w:tplc="DF7EA268">
      <w:start w:val="1"/>
      <w:numFmt w:val="bullet"/>
      <w:lvlText w:val="●"/>
      <w:lvlJc w:val="left"/>
      <w:pPr>
        <w:ind w:left="6480" w:hanging="360"/>
      </w:pPr>
    </w:lvl>
  </w:abstractNum>
  <w:num w:numId="1" w16cid:durableId="1269579909">
    <w:abstractNumId w:val="1"/>
    <w:lvlOverride w:ilvl="0">
      <w:startOverride w:val="1"/>
    </w:lvlOverride>
  </w:num>
  <w:num w:numId="2" w16cid:durableId="18464770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B40"/>
    <w:rsid w:val="005341AB"/>
    <w:rsid w:val="0066282F"/>
    <w:rsid w:val="00693B40"/>
    <w:rsid w:val="00A82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9FC2C7"/>
  <w15:docId w15:val="{3D964031-0DEF-A549-A0F5-B90DD3398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1389</Words>
  <Characters>7921</Characters>
  <Application>Microsoft Office Word</Application>
  <DocSecurity>0</DocSecurity>
  <Lines>66</Lines>
  <Paragraphs>18</Paragraphs>
  <ScaleCrop>false</ScaleCrop>
  <Company/>
  <LinksUpToDate>false</LinksUpToDate>
  <CharactersWithSpaces>9292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Arnav Gupta</cp:lastModifiedBy>
  <cp:revision>2</cp:revision>
  <dcterms:created xsi:type="dcterms:W3CDTF">2026-03-01T01:04:00Z</dcterms:created>
  <dcterms:modified xsi:type="dcterms:W3CDTF">2026-03-01T01:45:00Z</dcterms:modified>
</cp:coreProperties>
</file>