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B1A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B1A6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GRIDSHIELD  |  EXECUTIVE DECISION MEMO</w:t>
            </w:r>
          </w:p>
          <w:p w:rsidR="002B1A63" w:rsidRDefault="00000000">
            <w:pPr>
              <w:jc w:val="center"/>
            </w:pPr>
            <w:r>
              <w:rPr>
                <w:rFonts w:ascii="Arial" w:eastAsia="Arial" w:hAnsi="Arial" w:cs="Arial"/>
                <w:color w:val="B8C8D8"/>
                <w:sz w:val="18"/>
                <w:szCs w:val="18"/>
              </w:rPr>
              <w:t xml:space="preserve">Lumina Energy </w:t>
            </w:r>
            <w:r w:rsidR="006C69A0">
              <w:rPr>
                <w:rFonts w:ascii="Arial" w:eastAsia="Arial" w:hAnsi="Arial" w:cs="Arial"/>
                <w:color w:val="B8C8D8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color w:val="B8C8D8"/>
                <w:sz w:val="18"/>
                <w:szCs w:val="18"/>
              </w:rPr>
              <w:t xml:space="preserve"> Suburban Mumbai Distribution Zone  |  01 March 2026</w:t>
            </w:r>
          </w:p>
          <w:p w:rsidR="002B1A63" w:rsidRDefault="00000000">
            <w:pPr>
              <w:jc w:val="center"/>
            </w:pPr>
            <w:r>
              <w:rPr>
                <w:rFonts w:ascii="Arial" w:eastAsia="Arial" w:hAnsi="Arial" w:cs="Arial"/>
                <w:color w:val="90A8C0"/>
                <w:sz w:val="16"/>
                <w:szCs w:val="16"/>
              </w:rPr>
              <w:t xml:space="preserve">NLD Synapse 2026  ·  Decode X  ·  </w:t>
            </w:r>
            <w:proofErr w:type="spellStart"/>
            <w:r w:rsidR="006C69A0">
              <w:rPr>
                <w:rFonts w:ascii="Arial" w:eastAsia="Arial" w:hAnsi="Arial" w:cs="Arial"/>
                <w:color w:val="90A8C0"/>
                <w:sz w:val="16"/>
                <w:szCs w:val="16"/>
              </w:rPr>
              <w:t>Superios</w:t>
            </w:r>
            <w:proofErr w:type="spellEnd"/>
          </w:p>
        </w:tc>
      </w:tr>
    </w:tbl>
    <w:p w:rsidR="002B1A63" w:rsidRDefault="002B1A63">
      <w:pPr>
        <w:spacing w:after="160"/>
      </w:pPr>
    </w:p>
    <w:p w:rsidR="002B1A63" w:rsidRDefault="00000000">
      <w:pPr>
        <w:pBdr>
          <w:bottom w:val="single" w:sz="4" w:space="4" w:color="0D7377"/>
        </w:pBdr>
        <w:spacing w:before="200" w:after="8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1.  What Fundamentally Changed After the Regime Shift?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B1A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Regulatory Shock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Peak under-forecast penalty escalated from Rs. 4 → Rs. 6/kWh (+50%), raising the optimal forecast quantile from q*=0.667 to q*=0.750 under the newsvendor framework.</w:t>
            </w:r>
          </w:p>
        </w:tc>
      </w:tr>
      <w:tr w:rsidR="002B1A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Structural Demand Shift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Test period (May 2021) experienced an unprecedented demand regime: Maharashtra's Break the Chain COVID restrictions (partial unlock) + Cyclone </w:t>
            </w:r>
            <w:proofErr w:type="spellStart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Tauktae</w:t>
            </w:r>
            <w:proofErr w:type="spellEnd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 (May 17–18) combined to suppress average load 13% below May 2019 baseline.</w:t>
            </w:r>
          </w:p>
        </w:tc>
      </w:tr>
      <w:tr w:rsidR="002B1A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Model Lag Contamination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Stage 1 lag features (load_t_192, load_t_672) reference April 2021 full-lockdown values </w:t>
            </w:r>
            <w:r w:rsidR="006C69A0">
              <w:rPr>
                <w:rFonts w:ascii="Arial" w:eastAsia="Arial" w:hAnsi="Arial" w:cs="Arial"/>
                <w:color w:val="1A1A2E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 a structurally different demand regime </w:t>
            </w:r>
            <w:r w:rsidR="006C69A0">
              <w:rPr>
                <w:rFonts w:ascii="Arial" w:eastAsia="Arial" w:hAnsi="Arial" w:cs="Arial"/>
                <w:color w:val="1A1A2E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 causing RMSE to jump from 6.43 kW to 116 kW. This is inherent to any 2-day-ahead forecasting model at a regime boundary.</w:t>
            </w:r>
          </w:p>
        </w:tc>
      </w:tr>
      <w:tr w:rsidR="002B1A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Financial Impact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Daily average penalty rose 31× from Rs. 196/day (Stage 1) to Rs. 6,096/day (Stage 2). 85% of this increase is structural (demand regime); 15% is regulatory (penalty escalation).</w:t>
            </w:r>
          </w:p>
        </w:tc>
      </w:tr>
    </w:tbl>
    <w:p w:rsidR="002B1A63" w:rsidRDefault="002B1A63">
      <w:pPr>
        <w:spacing w:after="120"/>
      </w:pPr>
    </w:p>
    <w:p w:rsidR="002B1A63" w:rsidRDefault="00000000">
      <w:pPr>
        <w:pBdr>
          <w:bottom w:val="single" w:sz="4" w:space="4" w:color="0D7377"/>
        </w:pBdr>
        <w:spacing w:before="200" w:after="8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2.  What Trade-offs Were Accepted?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8"/>
        <w:gridCol w:w="5802"/>
      </w:tblGrid>
      <w:tr w:rsidR="002B1A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A63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5276"/>
                <w:sz w:val="18"/>
                <w:szCs w:val="18"/>
              </w:rPr>
              <w:t>ACCEPTED</w:t>
            </w:r>
          </w:p>
          <w:p w:rsidR="002B1A63" w:rsidRDefault="00000000">
            <w:r>
              <w:rPr>
                <w:rFonts w:ascii="Arial" w:eastAsia="Arial" w:hAnsi="Arial" w:cs="Arial"/>
                <w:color w:val="1A1A2E"/>
                <w:sz w:val="17"/>
                <w:szCs w:val="17"/>
              </w:rPr>
              <w:t xml:space="preserve">Higher RMSE (116.28 → 119.17 kW) in Stage 3 </w:t>
            </w:r>
            <w:r w:rsidR="006C69A0">
              <w:rPr>
                <w:rFonts w:ascii="Arial" w:eastAsia="Arial" w:hAnsi="Arial" w:cs="Arial"/>
                <w:color w:val="1A1A2E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color w:val="1A1A2E"/>
                <w:sz w:val="17"/>
                <w:szCs w:val="17"/>
              </w:rPr>
              <w:t xml:space="preserve"> a deliberate cost of the adaptive floor lifting forecasts above Q75 baseline during lag-contamination periods.</w:t>
            </w:r>
          </w:p>
          <w:p w:rsidR="002B1A63" w:rsidRDefault="00000000"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</w:p>
          <w:p w:rsidR="002B1A63" w:rsidRDefault="00000000">
            <w:r>
              <w:rPr>
                <w:rFonts w:ascii="Arial" w:eastAsia="Arial" w:hAnsi="Arial" w:cs="Arial"/>
                <w:color w:val="1A1A2E"/>
                <w:sz w:val="17"/>
                <w:szCs w:val="17"/>
              </w:rPr>
              <w:t xml:space="preserve">Higher forecast bias (+0.405% → +1.278%) </w:t>
            </w:r>
            <w:r w:rsidR="006C69A0">
              <w:rPr>
                <w:rFonts w:ascii="Arial" w:eastAsia="Arial" w:hAnsi="Arial" w:cs="Arial"/>
                <w:color w:val="1A1A2E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color w:val="1A1A2E"/>
                <w:sz w:val="17"/>
                <w:szCs w:val="17"/>
              </w:rPr>
              <w:t xml:space="preserve"> necessary to comply with C4 and buffer against Rs. 6/kWh under-forecast risk.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B1A63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922B21"/>
                <w:sz w:val="18"/>
                <w:szCs w:val="18"/>
              </w:rPr>
              <w:t>STRUCTURAL IMPOSSIBILITY</w:t>
            </w:r>
          </w:p>
          <w:p w:rsidR="002B1A63" w:rsidRDefault="00000000">
            <w:r>
              <w:rPr>
                <w:rFonts w:ascii="Arial" w:eastAsia="Arial" w:hAnsi="Arial" w:cs="Arial"/>
                <w:color w:val="1A1A2E"/>
                <w:sz w:val="17"/>
                <w:szCs w:val="17"/>
              </w:rPr>
              <w:t>C2 (≤3 peak violations) CANNOT coexist with C3 (bias ≤ +3%) and C4 (uplift ≤ 3%). Satisfying C2 requires ≥18% peak uplift; C3+C4 allow only ≤3% uplift. The constraint set is mathematically infeasible under force-majeure demand swings. This is proven by exhaustive parametric search.</w:t>
            </w:r>
          </w:p>
        </w:tc>
      </w:tr>
    </w:tbl>
    <w:p w:rsidR="002B1A63" w:rsidRDefault="002B1A63">
      <w:pPr>
        <w:spacing w:after="120"/>
      </w:pPr>
    </w:p>
    <w:p w:rsidR="002B1A63" w:rsidRDefault="00000000">
      <w:pPr>
        <w:pBdr>
          <w:bottom w:val="single" w:sz="4" w:space="4" w:color="0D7377"/>
        </w:pBdr>
        <w:spacing w:before="200" w:after="8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3.  What Final Decision Is Recommended?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A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B1A63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D6A38"/>
              </w:rPr>
              <w:t>Deploy Stage 3 Adaptive Floor Strategy (Q75 Peak + Q67 Off-Peak + Rolling 90th-Percentile Floor from Day 3)</w:t>
            </w:r>
          </w:p>
          <w:p w:rsidR="002B1A63" w:rsidRDefault="00000000">
            <w:pPr>
              <w:spacing w:after="60"/>
            </w:pP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Total penalty: Rs. 1,83,336 </w:t>
            </w:r>
            <w:r w:rsidR="006C69A0">
              <w:rPr>
                <w:rFonts w:ascii="Arial" w:eastAsia="Arial" w:hAnsi="Arial" w:cs="Arial"/>
                <w:color w:val="1A1A2E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 a Rs. 5,697 improvement over Stage 2 baseline (Rs. 1,89,033).</w:t>
            </w:r>
          </w:p>
          <w:p w:rsidR="002B1A63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Peak-hour penalty reduced 15.2%: Rs. 37,323 → Rs. 31,626. Constraints C1, C3, C4 all satisfied. 26 remaining C2 violations are attributable to two force-majeure events (Break the Chain unlock transition May 3–4 and post-Cyclone </w:t>
            </w:r>
            <w:proofErr w:type="spellStart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Tauktae</w:t>
            </w:r>
            <w:proofErr w:type="spellEnd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 rebound May 24–25) </w:t>
            </w:r>
            <w:r w:rsidR="006C69A0">
              <w:rPr>
                <w:rFonts w:ascii="Arial" w:eastAsia="Arial" w:hAnsi="Arial" w:cs="Arial"/>
                <w:color w:val="1A1A2E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 both structurally unavoidable without violating C3/C4.</w:t>
            </w:r>
          </w:p>
        </w:tc>
      </w:tr>
    </w:tbl>
    <w:p w:rsidR="002B1A63" w:rsidRDefault="002B1A63">
      <w:pPr>
        <w:spacing w:after="120"/>
      </w:pPr>
    </w:p>
    <w:p w:rsidR="002B1A63" w:rsidRDefault="00000000">
      <w:pPr>
        <w:pBdr>
          <w:bottom w:val="single" w:sz="4" w:space="4" w:color="0D7377"/>
        </w:pBdr>
        <w:spacing w:before="200" w:after="80"/>
      </w:pPr>
      <w:r>
        <w:rPr>
          <w:rFonts w:ascii="Arial" w:eastAsia="Arial" w:hAnsi="Arial" w:cs="Arial"/>
          <w:b/>
          <w:bCs/>
          <w:color w:val="1B2A4A"/>
          <w:sz w:val="26"/>
          <w:szCs w:val="26"/>
        </w:rPr>
        <w:t>4.  What Risks Remain?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B1A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Model Risk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Lag contamination persists at every future regime-change boundary. Any structural demand shift (new lockdown, major infrastructure failure) resets the lag quality problem. Adaptive floor partially mitigates but cannot eliminate this.</w:t>
            </w:r>
          </w:p>
        </w:tc>
      </w:tr>
      <w:tr w:rsidR="002B1A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Regulatory Risk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Further penalty escalation beyond Rs. 6/kWh at peak would require re-deriving q* and retraining quantile models. Current architecture supports rapid recalibration </w:t>
            </w:r>
            <w:r w:rsidR="006C69A0">
              <w:rPr>
                <w:rFonts w:ascii="Arial" w:eastAsia="Arial" w:hAnsi="Arial" w:cs="Arial"/>
                <w:color w:val="1A1A2E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 new q* = </w:t>
            </w:r>
            <w:proofErr w:type="spellStart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c_under</w:t>
            </w:r>
            <w:proofErr w:type="spellEnd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 / (</w:t>
            </w:r>
            <w:proofErr w:type="spellStart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c_under</w:t>
            </w:r>
            <w:proofErr w:type="spellEnd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c_over</w:t>
            </w:r>
            <w:proofErr w:type="spellEnd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) </w:t>
            </w:r>
            <w:r w:rsidR="006C69A0">
              <w:rPr>
                <w:rFonts w:ascii="Arial" w:eastAsia="Arial" w:hAnsi="Arial" w:cs="Arial"/>
                <w:color w:val="1A1A2E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 but re-deployment requires lead time.</w:t>
            </w:r>
          </w:p>
        </w:tc>
      </w:tr>
      <w:tr w:rsidR="002B1A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lastRenderedPageBreak/>
              <w:t>Weather/Climate Risk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Cyclone </w:t>
            </w:r>
            <w:proofErr w:type="spellStart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>Tauktae</w:t>
            </w:r>
            <w:proofErr w:type="spellEnd"/>
            <w:r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 was a once-in-a-decade event during the forecast window. Climate volatility in the Mumbai coastal corridor may make such events more frequent. The adaptive event detection protocol (temperature anomaly &gt;3°C, rainfall &gt;30mm/6h) addresses this operationally.</w:t>
            </w:r>
          </w:p>
        </w:tc>
      </w:tr>
      <w:tr w:rsidR="002B1A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C2 Compliance Risk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1A63" w:rsidRDefault="00000000"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The Board must formally acknowledge that C2 (≤3 peak violations) is mathematically infeasible simultaneously with C3+C4 during force-majeure periods. Without this acknowledgment, compliance reporting will always show violation of the weakest constraint. The trade-off is transparent and documented </w:t>
            </w:r>
            <w:r w:rsidR="006C69A0"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 it is a governance decision, not a technical failure.</w:t>
            </w:r>
          </w:p>
        </w:tc>
      </w:tr>
    </w:tbl>
    <w:p w:rsidR="002B1A63" w:rsidRDefault="002B1A6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A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B1A63" w:rsidRDefault="00000000">
            <w:pPr>
              <w:jc w:val="center"/>
            </w:pPr>
            <w:r>
              <w:rPr>
                <w:rFonts w:ascii="Arial" w:eastAsia="Arial" w:hAnsi="Arial" w:cs="Arial"/>
                <w:color w:val="6B8098"/>
                <w:sz w:val="16"/>
                <w:szCs w:val="16"/>
              </w:rPr>
              <w:t xml:space="preserve">This memo is a binding strategic decision document. All quantitative claims are model-verified and empirically grounded. | Decode X 2026 </w:t>
            </w:r>
            <w:r w:rsidR="006C69A0">
              <w:rPr>
                <w:rFonts w:ascii="Arial" w:eastAsia="Arial" w:hAnsi="Arial" w:cs="Arial"/>
                <w:color w:val="6B8098"/>
                <w:sz w:val="16"/>
                <w:szCs w:val="16"/>
              </w:rPr>
              <w:t>-</w:t>
            </w:r>
            <w:r>
              <w:rPr>
                <w:rFonts w:ascii="Arial" w:eastAsia="Arial" w:hAnsi="Arial" w:cs="Arial"/>
                <w:color w:val="6B8098"/>
                <w:sz w:val="16"/>
                <w:szCs w:val="16"/>
              </w:rPr>
              <w:t xml:space="preserve"> Case GRIDSHIELD</w:t>
            </w:r>
          </w:p>
        </w:tc>
      </w:tr>
    </w:tbl>
    <w:p w:rsidR="00DE6B91" w:rsidRDefault="00DE6B91"/>
    <w:sectPr w:rsidR="00DE6B9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659F0"/>
    <w:multiLevelType w:val="hybridMultilevel"/>
    <w:tmpl w:val="1114A842"/>
    <w:lvl w:ilvl="0" w:tplc="8FD0C8E6">
      <w:start w:val="1"/>
      <w:numFmt w:val="bullet"/>
      <w:lvlText w:val="●"/>
      <w:lvlJc w:val="left"/>
      <w:pPr>
        <w:ind w:left="720" w:hanging="360"/>
      </w:pPr>
    </w:lvl>
    <w:lvl w:ilvl="1" w:tplc="9C10BE7C">
      <w:start w:val="1"/>
      <w:numFmt w:val="bullet"/>
      <w:lvlText w:val="○"/>
      <w:lvlJc w:val="left"/>
      <w:pPr>
        <w:ind w:left="1440" w:hanging="360"/>
      </w:pPr>
    </w:lvl>
    <w:lvl w:ilvl="2" w:tplc="330484FE">
      <w:start w:val="1"/>
      <w:numFmt w:val="bullet"/>
      <w:lvlText w:val="■"/>
      <w:lvlJc w:val="left"/>
      <w:pPr>
        <w:ind w:left="2160" w:hanging="360"/>
      </w:pPr>
    </w:lvl>
    <w:lvl w:ilvl="3" w:tplc="75D0490C">
      <w:start w:val="1"/>
      <w:numFmt w:val="bullet"/>
      <w:lvlText w:val="●"/>
      <w:lvlJc w:val="left"/>
      <w:pPr>
        <w:ind w:left="2880" w:hanging="360"/>
      </w:pPr>
    </w:lvl>
    <w:lvl w:ilvl="4" w:tplc="A9022650">
      <w:start w:val="1"/>
      <w:numFmt w:val="bullet"/>
      <w:lvlText w:val="○"/>
      <w:lvlJc w:val="left"/>
      <w:pPr>
        <w:ind w:left="3600" w:hanging="360"/>
      </w:pPr>
    </w:lvl>
    <w:lvl w:ilvl="5" w:tplc="506E1DAC">
      <w:start w:val="1"/>
      <w:numFmt w:val="bullet"/>
      <w:lvlText w:val="■"/>
      <w:lvlJc w:val="left"/>
      <w:pPr>
        <w:ind w:left="4320" w:hanging="360"/>
      </w:pPr>
    </w:lvl>
    <w:lvl w:ilvl="6" w:tplc="B3E2755C">
      <w:start w:val="1"/>
      <w:numFmt w:val="bullet"/>
      <w:lvlText w:val="●"/>
      <w:lvlJc w:val="left"/>
      <w:pPr>
        <w:ind w:left="5040" w:hanging="360"/>
      </w:pPr>
    </w:lvl>
    <w:lvl w:ilvl="7" w:tplc="D3DE7834">
      <w:start w:val="1"/>
      <w:numFmt w:val="bullet"/>
      <w:lvlText w:val="●"/>
      <w:lvlJc w:val="left"/>
      <w:pPr>
        <w:ind w:left="5760" w:hanging="360"/>
      </w:pPr>
    </w:lvl>
    <w:lvl w:ilvl="8" w:tplc="F8E0632C">
      <w:start w:val="1"/>
      <w:numFmt w:val="bullet"/>
      <w:lvlText w:val="●"/>
      <w:lvlJc w:val="left"/>
      <w:pPr>
        <w:ind w:left="6480" w:hanging="360"/>
      </w:pPr>
    </w:lvl>
  </w:abstractNum>
  <w:num w:numId="1" w16cid:durableId="1615138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A63"/>
    <w:rsid w:val="002B1A63"/>
    <w:rsid w:val="0066282F"/>
    <w:rsid w:val="006C69A0"/>
    <w:rsid w:val="00DE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AAE61"/>
  <w15:docId w15:val="{3D964031-0DEF-A549-A0F5-B90DD3398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Arnav Gupta</cp:lastModifiedBy>
  <cp:revision>2</cp:revision>
  <dcterms:created xsi:type="dcterms:W3CDTF">2026-03-01T01:02:00Z</dcterms:created>
  <dcterms:modified xsi:type="dcterms:W3CDTF">2026-03-01T01:50:00Z</dcterms:modified>
</cp:coreProperties>
</file>