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80"/>
      </w:pPr>
      <w:r>
        <w:rPr>
          <w:rFonts w:ascii="Calibri" w:cs="Calibri" w:eastAsia="Calibri" w:hAnsi="Calibri"/>
          <w:b/>
          <w:bCs/>
          <w:color w:val="0D1B2A"/>
          <w:sz w:val="64"/>
          <w:szCs w:val="64"/>
        </w:rPr>
        <w:t xml:space="preserve">GRIDSHIELD</w:t>
      </w:r>
    </w:p>
    <w:p>
      <w:pPr>
        <w:spacing w:after="200"/>
      </w:pPr>
      <w:r>
        <w:rPr>
          <w:rFonts w:ascii="Calibri" w:cs="Calibri" w:eastAsia="Calibri" w:hAnsi="Calibri"/>
          <w:color w:val="1B4F8A"/>
          <w:sz w:val="36"/>
          <w:szCs w:val="36"/>
        </w:rPr>
        <w:t xml:space="preserve">Stage 3 — Board Directive</w:t>
      </w:r>
    </w:p>
    <w:p>
      <w:pPr>
        <w:spacing w:after="200"/>
      </w:pPr>
      <w:r>
        <w:rPr>
          <w:rFonts w:ascii="Calibri" w:cs="Calibri" w:eastAsia="Calibri" w:hAnsi="Calibri"/>
          <w:color w:val="475569"/>
          <w:sz w:val="24"/>
          <w:szCs w:val="24"/>
        </w:rPr>
        <w:t xml:space="preserve">Constrained Re-Optimization Under Regulatory &amp; Reliability Constraints</w:t>
      </w:r>
    </w:p>
    <w:p>
      <w:pPr>
        <w:pBdr>
          <w:bottom w:val="single" w:color="1B4F8A" w:sz="6" w:space="1"/>
        </w:pBdr>
        <w:spacing w:after="2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80"/>
        <w:gridCol w:w="3780"/>
      </w:tblGrid>
      <w:tr>
        <w:tc>
          <w:tcPr>
            <w:tcW w:type="dxa" w:w="5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20"/>
                <w:szCs w:val="20"/>
              </w:rPr>
              <w:t xml:space="preserve">Document Type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D1B2A"/>
                <w:sz w:val="20"/>
                <w:szCs w:val="20"/>
              </w:rPr>
              <w:t xml:space="preserve">Technical Appendix + Decision Memo</w:t>
            </w:r>
          </w:p>
        </w:tc>
      </w:tr>
      <w:tr>
        <w:tc>
          <w:tcPr>
            <w:tcW w:type="dxa" w:w="5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20"/>
                <w:szCs w:val="20"/>
              </w:rPr>
              <w:t xml:space="preserve">Competition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D1B2A"/>
                <w:sz w:val="20"/>
                <w:szCs w:val="20"/>
              </w:rPr>
              <w:t xml:space="preserve">NLD Synapse 2026 — DECODE X</w:t>
            </w:r>
          </w:p>
        </w:tc>
      </w:tr>
      <w:tr>
        <w:tc>
          <w:tcPr>
            <w:tcW w:type="dxa" w:w="5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20"/>
                <w:szCs w:val="20"/>
              </w:rPr>
              <w:t xml:space="preserve">Case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D1B2A"/>
                <w:sz w:val="20"/>
                <w:szCs w:val="20"/>
              </w:rPr>
              <w:t xml:space="preserve">GRIDSHIELD — Lumina Energy, Suburban Mumbai</w:t>
            </w:r>
          </w:p>
        </w:tc>
      </w:tr>
      <w:tr>
        <w:tc>
          <w:tcPr>
            <w:tcW w:type="dxa" w:w="5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20"/>
                <w:szCs w:val="20"/>
              </w:rPr>
              <w:t xml:space="preserve">Team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D1B2A"/>
                <w:sz w:val="20"/>
                <w:szCs w:val="20"/>
              </w:rPr>
              <w:t xml:space="preserve">Forecast Risk Advisory Team</w:t>
            </w:r>
          </w:p>
        </w:tc>
      </w:tr>
      <w:tr>
        <w:tc>
          <w:tcPr>
            <w:tcW w:type="dxa" w:w="5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20"/>
                <w:szCs w:val="20"/>
              </w:rPr>
              <w:t xml:space="preserve">Stage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D1B2A"/>
                <w:sz w:val="20"/>
                <w:szCs w:val="20"/>
              </w:rPr>
              <w:t xml:space="preserve">Stage 3 — Confidential Board Directive</w:t>
            </w:r>
          </w:p>
        </w:tc>
      </w:tr>
      <w:tr>
        <w:tc>
          <w:tcPr>
            <w:tcW w:type="dxa" w:w="5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20"/>
                <w:szCs w:val="20"/>
              </w:rPr>
              <w:t xml:space="preserve">Date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D1B2A"/>
                <w:sz w:val="20"/>
                <w:szCs w:val="20"/>
              </w:rPr>
              <w:t xml:space="preserve">01 March 2026  |  5:00 AM</w:t>
            </w:r>
          </w:p>
        </w:tc>
      </w:tr>
      <w:tr>
        <w:tc>
          <w:tcPr>
            <w:tcW w:type="dxa" w:w="5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20"/>
                <w:szCs w:val="20"/>
              </w:rPr>
              <w:t xml:space="preserve">Classification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D1B2A"/>
                <w:sz w:val="20"/>
                <w:szCs w:val="20"/>
              </w:rPr>
              <w:t xml:space="preserve">CONFIDENTIAL BOARD SUBMISSION</w:t>
            </w:r>
          </w:p>
        </w:tc>
      </w:tr>
    </w:tbl>
    <w:p>
      <w:pPr>
        <w:spacing w:before="480" w:after="160"/>
      </w:pPr>
      <w:r>
        <w:rPr>
          <w:rFonts w:ascii="Calibri" w:cs="Calibri" w:eastAsia="Calibri" w:hAnsi="Calibri"/>
          <w:color w:val="475569"/>
          <w:sz w:val="22"/>
          <w:szCs w:val="22"/>
        </w:rPr>
        <w:t xml:space="preserve">This document contains: (1) Technical Appendix covering model specifications, methodology, validation, and sensitivity analysis; and (2) the mandatory One-Page Decision Memo.</w:t>
      </w:r>
    </w:p>
    <w:p>
      <w:r>
        <w:br w:type="page"/>
      </w:r>
    </w:p>
    <w:p>
      <w:pPr>
        <w:spacing w:after="160"/>
      </w:pPr>
      <w:r>
        <w:rPr>
          <w:rFonts w:ascii="Calibri" w:cs="Calibri" w:eastAsia="Calibri" w:hAnsi="Calibri"/>
          <w:b/>
          <w:bCs/>
          <w:color w:val="C62828"/>
          <w:sz w:val="28"/>
          <w:szCs w:val="28"/>
        </w:rPr>
        <w:t xml:space="preserve">PART I — ONE-PAGE DECISION MEMO</w:t>
      </w:r>
    </w:p>
    <w:p>
      <w:pPr>
        <w:pBdr>
          <w:bottom w:val="single" w:color="1B4F8A" w:sz="6" w:space="1"/>
        </w:pBdr>
        <w:spacing w:after="200"/>
      </w:pPr>
    </w:p>
    <w:p>
      <w:pPr>
        <w:pStyle w:val="Heading2"/>
      </w:pPr>
      <w:r>
        <w:rPr>
          <w:rFonts w:ascii="Calibri" w:cs="Calibri" w:eastAsia="Calibri" w:hAnsi="Calibri"/>
          <w:b/>
          <w:bCs/>
          <w:color w:val="000000"/>
        </w:rPr>
        <w:t xml:space="preserve">What Fundamentally Changed After the Regime Shift?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color w:val="334155"/>
          <w:sz w:val="22"/>
          <w:szCs w:val="22"/>
        </w:rPr>
        <w:t xml:space="preserve">Three simultaneous structural shocks hit the test period (May–June 2021), each compounding the others: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color w:val="334155"/>
          <w:sz w:val="22"/>
          <w:szCs w:val="22"/>
        </w:rPr>
        <w:t xml:space="preserve">Break the Chain 2.0 (May 1–14): Maharashtra's strictest lockdown since April 2020 suppressed weekday commercial/office demand by ~159 kW (−11%). The weekday−weekend load ratio changed, confirming it was primarily a commercial sector effect — not residential.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color w:val="334155"/>
          <w:sz w:val="22"/>
          <w:szCs w:val="22"/>
        </w:rPr>
        <w:t xml:space="preserve">Cyclone Tauktae (May 17–18): 47mm of rainfall and a temperature drop from 32°C to 27.6°C caused an industrial shutdown and a demand collapse to 879 kW — approximately 40% below normal. The lag features (load_t_192) referenced April 2021 data — a full lockdown baseline — making them anchored to the wrong regime entirely.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color w:val="334155"/>
          <w:sz w:val="22"/>
          <w:szCs w:val="22"/>
        </w:rPr>
        <w:t xml:space="preserve">Mission Begin Again Unlock (June 1+): Post-lockdown economic rebound caused a +19.4% demand surge that the model, trained on suppressed data, systematically under-forecast.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color w:val="334155"/>
          <w:sz w:val="22"/>
          <w:szCs w:val="22"/>
        </w:rPr>
        <w:t xml:space="preserve">Net effect: RMSE jumped from 6.43 kW (Stage 1) to 116 kW (Stage 2) — an 18× degradation. Per-interval penalty increased 31× (Rs.2.04 → Rs.63.50). The regulatory change (peak penalty Rs.4→Rs.6) contributed ~15% of the increase; the regime shift contributed ~85%.</w:t>
      </w:r>
    </w:p>
    <w:p>
      <w:pPr>
        <w:pStyle w:val="Heading2"/>
      </w:pPr>
      <w:r>
        <w:rPr>
          <w:rFonts w:ascii="Calibri" w:cs="Calibri" w:eastAsia="Calibri" w:hAnsi="Calibri"/>
          <w:b/>
          <w:bCs/>
          <w:color w:val="000000"/>
        </w:rPr>
        <w:t xml:space="preserve">What Trade-Offs Were Accepted?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80"/>
        <w:gridCol w:w="2880"/>
        <w:gridCol w:w="2700"/>
      </w:tblGrid>
      <w:tr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Decision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We Gained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We Paid</w:t>
            </w:r>
          </w:p>
        </w:tc>
      </w:tr>
      <w:tr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Accept +6% total penalty vs Stage 2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C2 compliance (≤3 violations)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Rs.11,316 additional cost</w:t>
            </w:r>
          </w:p>
        </w:tc>
      </w:tr>
      <w:tr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Choose minimum feasible buffer (+180 kW peak)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Minimum regulatory cost, C3/C4 margins preserved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3 violations remain (force majeure)</w:t>
            </w:r>
          </w:p>
        </w:tc>
      </w:tr>
      <w:tr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Keep Q67 off-peak (no buffer)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Optimal off-peak pricing, respects uplift cap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Off-peak still 75.7% of total penalty</w:t>
            </w:r>
          </w:p>
        </w:tc>
      </w:tr>
      <w:tr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Label 3 Cyclone violations as force majeure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Honest and defensible; standard industry practice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Board may require cyclone protocol</w:t>
            </w:r>
          </w:p>
        </w:tc>
      </w:tr>
    </w:tbl>
    <w:p>
      <w:pPr>
        <w:pStyle w:val="Heading2"/>
      </w:pPr>
      <w:r>
        <w:rPr>
          <w:rFonts w:ascii="Calibri" w:cs="Calibri" w:eastAsia="Calibri" w:hAnsi="Calibri"/>
          <w:b/>
          <w:bCs/>
          <w:color w:val="000000"/>
        </w:rPr>
        <w:t xml:space="preserve">What Final Decision Is Recommended?</w:t>
      </w:r>
    </w:p>
    <w:p>
      <w:pPr>
        <w:pBdr>
          <w:left w:val="single" w:color="0D9488" w:sz="12" w:space="8"/>
        </w:pBdr>
        <w:spacing w:after="160"/>
        <w:ind w:left="360"/>
      </w:pPr>
      <w:r>
        <w:rPr>
          <w:rFonts w:ascii="Calibri" w:cs="Calibri" w:eastAsia="Calibri" w:hAnsi="Calibri"/>
          <w:b/>
          <w:bCs/>
          <w:color w:val="0D1B2A"/>
          <w:sz w:val="24"/>
          <w:szCs w:val="24"/>
        </w:rPr>
        <w:t xml:space="preserve">RECOMMENDED STRATEGY: Q67 quantile model for off-peak hours + Q75 quantile model with +180 kW additive buffer for peak hours (6:00–10:00 PM). This is the minimum-cost strategy that satisfies all 4 board constraints simultaneously.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color w:val="334155"/>
          <w:sz w:val="22"/>
          <w:szCs w:val="22"/>
        </w:rPr>
        <w:t xml:space="preserve">Constraint verification — ALL PASS: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color w:val="334155"/>
          <w:sz w:val="22"/>
          <w:szCs w:val="22"/>
        </w:rPr>
        <w:t xml:space="preserve">C1: Total Penalty = Rs.2,00,349 | Peak = Rs.48,639 | Off-Peak = Rs.1,51,709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color w:val="334155"/>
          <w:sz w:val="22"/>
          <w:szCs w:val="22"/>
        </w:rPr>
        <w:t xml:space="preserve">C2: Peak violations &gt;5% = 3 intervals (max 3) — all during Cyclone Tauktae (force majeure)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color w:val="334155"/>
          <w:sz w:val="22"/>
          <w:szCs w:val="22"/>
        </w:rPr>
        <w:t xml:space="preserve">C3: Forecast bias = +2.76% (within −2% to +3% bound)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color w:val="334155"/>
          <w:sz w:val="22"/>
          <w:szCs w:val="22"/>
        </w:rPr>
        <w:t xml:space="preserve">C4: Average uplift vs unbiased model = +2.53% (within 3% cap)</w:t>
      </w:r>
    </w:p>
    <w:p>
      <w:pPr>
        <w:pStyle w:val="Heading2"/>
      </w:pPr>
      <w:r>
        <w:rPr>
          <w:rFonts w:ascii="Calibri" w:cs="Calibri" w:eastAsia="Calibri" w:hAnsi="Calibri"/>
          <w:b/>
          <w:bCs/>
          <w:color w:val="000000"/>
        </w:rPr>
        <w:t xml:space="preserve">What Risks Remain?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334155"/>
          <w:sz w:val="22"/>
          <w:szCs w:val="22"/>
        </w:rPr>
        <w:t xml:space="preserve">Future cyclones or extreme weather events: No 2-day-ahead model can forecast a 40% demand collapse from a natural disaster. Recommend real-time weather alert protocol to trigger dynamic quantile escalation (Q90+) for flagged intervals.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334155"/>
          <w:sz w:val="22"/>
          <w:szCs w:val="22"/>
        </w:rPr>
        <w:t xml:space="preserve">Additional regime shifts: Any future lockdown or unlock would cause lag features to re-anchor to the wrong regime. Recommend 90-day rolling retraining window and monitoring weekday/weekend load ratio as early-warning indicator.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334155"/>
          <w:sz w:val="22"/>
          <w:szCs w:val="22"/>
        </w:rPr>
        <w:t xml:space="preserve">Further peak penalty escalation: If the regulatory authority escalates peak rates again (e.g., to Rs.8/kWh), the optimal buffer must be recalculated. The q* formula remains: q* = c_under/(c_under+c_over). The buffer grid search takes &lt;5 minutes to re-run.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334155"/>
          <w:sz w:val="22"/>
          <w:szCs w:val="22"/>
        </w:rPr>
        <w:t xml:space="preserve">Systematic over-procurement risk: The +180 kW peak buffer causes an average +2.76% bias. If demand continues to fall (further lockdowns), this over-procurement bias could increase. Monthly review of buffer vs realized violations recommended.</w:t>
      </w:r>
    </w:p>
    <w:p>
      <w:r>
        <w:br w:type="page"/>
      </w:r>
    </w:p>
    <w:p>
      <w:pPr>
        <w:spacing w:after="160"/>
      </w:pPr>
      <w:r>
        <w:rPr>
          <w:rFonts w:ascii="Calibri" w:cs="Calibri" w:eastAsia="Calibri" w:hAnsi="Calibri"/>
          <w:b/>
          <w:bCs/>
          <w:color w:val="1B4F8A"/>
          <w:sz w:val="28"/>
          <w:szCs w:val="28"/>
        </w:rPr>
        <w:t xml:space="preserve">PART II — TECHNICAL APPENDIX</w:t>
      </w:r>
    </w:p>
    <w:p>
      <w:pPr>
        <w:pBdr>
          <w:bottom w:val="single" w:color="1B4F8A" w:sz="6" w:space="1"/>
        </w:pBdr>
        <w:spacing w:after="200"/>
      </w:pPr>
    </w:p>
    <w:p>
      <w:pPr>
        <w:pStyle w:val="Heading1"/>
      </w:pPr>
      <w:r>
        <w:rPr>
          <w:rFonts w:ascii="Calibri" w:cs="Calibri" w:eastAsia="Calibri" w:hAnsi="Calibri"/>
          <w:b/>
          <w:bCs/>
          <w:color w:val="000000"/>
        </w:rPr>
        <w:t xml:space="preserve">1. Model Specifications</w:t>
      </w:r>
    </w:p>
    <w:p>
      <w:pPr>
        <w:pStyle w:val="Heading2"/>
      </w:pPr>
      <w:r>
        <w:rPr>
          <w:rFonts w:ascii="Calibri" w:cs="Calibri" w:eastAsia="Calibri" w:hAnsi="Calibri"/>
          <w:b/>
          <w:bCs/>
          <w:color w:val="000000"/>
        </w:rPr>
        <w:t xml:space="preserve">1.1 Algorithm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color w:val="334155"/>
          <w:sz w:val="22"/>
          <w:szCs w:val="22"/>
        </w:rPr>
        <w:t xml:space="preserve">All models use scikit-learn's HistGradientBoostingRegressor — a histogram-based gradient boosting variant that natively handles missing values, supports quantile loss, and trains significantly faster than standard gradient boosting on large datasets (283,391 training rows).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80"/>
        <w:gridCol w:w="3780"/>
      </w:tblGrid>
      <w:tr>
        <w:tc>
          <w:tcPr>
            <w:tcW w:type="dxa" w:w="5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Parameter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5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20"/>
                <w:szCs w:val="20"/>
              </w:rPr>
              <w:t xml:space="preserve">Algorithm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D1B2A"/>
                <w:sz w:val="20"/>
                <w:szCs w:val="20"/>
              </w:rPr>
              <w:t xml:space="preserve">HistGradientBoostingRegressor (sklearn)</w:t>
            </w:r>
          </w:p>
        </w:tc>
      </w:tr>
      <w:tr>
        <w:tc>
          <w:tcPr>
            <w:tcW w:type="dxa" w:w="5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20"/>
                <w:szCs w:val="20"/>
              </w:rPr>
              <w:t xml:space="preserve">Max iterations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D1B2A"/>
                <w:sz w:val="20"/>
                <w:szCs w:val="20"/>
              </w:rPr>
              <w:t xml:space="preserve">600</w:t>
            </w:r>
          </w:p>
        </w:tc>
      </w:tr>
      <w:tr>
        <w:tc>
          <w:tcPr>
            <w:tcW w:type="dxa" w:w="5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20"/>
                <w:szCs w:val="20"/>
              </w:rPr>
              <w:t xml:space="preserve">Learning rate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D1B2A"/>
                <w:sz w:val="20"/>
                <w:szCs w:val="20"/>
              </w:rPr>
              <w:t xml:space="preserve">0.05</w:t>
            </w:r>
          </w:p>
        </w:tc>
      </w:tr>
      <w:tr>
        <w:tc>
          <w:tcPr>
            <w:tcW w:type="dxa" w:w="5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20"/>
                <w:szCs w:val="20"/>
              </w:rPr>
              <w:t xml:space="preserve">Max tree depth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D1B2A"/>
                <w:sz w:val="20"/>
                <w:szCs w:val="20"/>
              </w:rPr>
              <w:t xml:space="preserve">8</w:t>
            </w:r>
          </w:p>
        </w:tc>
      </w:tr>
      <w:tr>
        <w:tc>
          <w:tcPr>
            <w:tcW w:type="dxa" w:w="5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20"/>
                <w:szCs w:val="20"/>
              </w:rPr>
              <w:t xml:space="preserve">Min samples per leaf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D1B2A"/>
                <w:sz w:val="20"/>
                <w:szCs w:val="20"/>
              </w:rPr>
              <w:t xml:space="preserve">20</w:t>
            </w:r>
          </w:p>
        </w:tc>
      </w:tr>
      <w:tr>
        <w:tc>
          <w:tcPr>
            <w:tcW w:type="dxa" w:w="5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20"/>
                <w:szCs w:val="20"/>
              </w:rPr>
              <w:t xml:space="preserve">L2 regularization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D1B2A"/>
                <w:sz w:val="20"/>
                <w:szCs w:val="20"/>
              </w:rPr>
              <w:t xml:space="preserve">0.1</w:t>
            </w:r>
          </w:p>
        </w:tc>
      </w:tr>
      <w:tr>
        <w:tc>
          <w:tcPr>
            <w:tcW w:type="dxa" w:w="5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20"/>
                <w:szCs w:val="20"/>
              </w:rPr>
              <w:t xml:space="preserve">Early stopping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D1B2A"/>
                <w:sz w:val="20"/>
                <w:szCs w:val="20"/>
              </w:rPr>
              <w:t xml:space="preserve">Enabled (25 rounds no improvement)</w:t>
            </w:r>
          </w:p>
        </w:tc>
      </w:tr>
      <w:tr>
        <w:tc>
          <w:tcPr>
            <w:tcW w:type="dxa" w:w="5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20"/>
                <w:szCs w:val="20"/>
              </w:rPr>
              <w:t xml:space="preserve">Validation fraction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D1B2A"/>
                <w:sz w:val="20"/>
                <w:szCs w:val="20"/>
              </w:rPr>
              <w:t xml:space="preserve">10% of training set (for early stopping)</w:t>
            </w:r>
          </w:p>
        </w:tc>
      </w:tr>
      <w:tr>
        <w:tc>
          <w:tcPr>
            <w:tcW w:type="dxa" w:w="5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20"/>
                <w:szCs w:val="20"/>
              </w:rPr>
              <w:t xml:space="preserve">Random seed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D1B2A"/>
                <w:sz w:val="20"/>
                <w:szCs w:val="20"/>
              </w:rPr>
              <w:t xml:space="preserve">42 (reproducibility)</w:t>
            </w:r>
          </w:p>
        </w:tc>
      </w:tr>
    </w:tbl>
    <w:p>
      <w:pPr>
        <w:pStyle w:val="Heading2"/>
      </w:pPr>
      <w:r>
        <w:rPr>
          <w:rFonts w:ascii="Calibri" w:cs="Calibri" w:eastAsia="Calibri" w:hAnsi="Calibri"/>
          <w:b/>
          <w:bCs/>
          <w:color w:val="000000"/>
        </w:rPr>
        <w:t xml:space="preserve">1.2 Model Variants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80"/>
        <w:gridCol w:w="3780"/>
      </w:tblGrid>
      <w:tr>
        <w:tc>
          <w:tcPr>
            <w:tcW w:type="dxa" w:w="5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Model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5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20"/>
                <w:szCs w:val="20"/>
              </w:rPr>
              <w:t xml:space="preserve">Mean Model (MSE loss)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D1B2A"/>
                <w:sz w:val="20"/>
                <w:szCs w:val="20"/>
              </w:rPr>
              <w:t xml:space="preserve">Unbiased baseline; minimizes RMSE</w:t>
            </w:r>
          </w:p>
        </w:tc>
      </w:tr>
      <w:tr>
        <w:tc>
          <w:tcPr>
            <w:tcW w:type="dxa" w:w="5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20"/>
                <w:szCs w:val="20"/>
              </w:rPr>
              <w:t xml:space="preserve">Q67 Model (quantile=0.667)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D1B2A"/>
                <w:sz w:val="20"/>
                <w:szCs w:val="20"/>
              </w:rPr>
              <w:t xml:space="preserve">Optimal for off-peak; q*=4/(4+2)=0.667</w:t>
            </w:r>
          </w:p>
        </w:tc>
      </w:tr>
      <w:tr>
        <w:tc>
          <w:tcPr>
            <w:tcW w:type="dxa" w:w="5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20"/>
                <w:szCs w:val="20"/>
              </w:rPr>
              <w:t xml:space="preserve">Q75 Model (quantile=0.750)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D1B2A"/>
                <w:sz w:val="20"/>
                <w:szCs w:val="20"/>
              </w:rPr>
              <w:t xml:space="preserve">Optimal for Stage 2/3 peak; q*=6/(6+2)=0.750</w:t>
            </w:r>
          </w:p>
        </w:tc>
      </w:tr>
      <w:tr>
        <w:tc>
          <w:tcPr>
            <w:tcW w:type="dxa" w:w="5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20"/>
                <w:szCs w:val="20"/>
              </w:rPr>
              <w:t xml:space="preserve">Stage 3 Hybrid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D1B2A"/>
                <w:sz w:val="20"/>
                <w:szCs w:val="20"/>
              </w:rPr>
              <w:t xml:space="preserve">Q67 off-peak + Q75+180kW peak; satisfies all board constraints</w:t>
            </w:r>
          </w:p>
        </w:tc>
      </w:tr>
    </w:tbl>
    <w:p>
      <w:pPr>
        <w:pStyle w:val="Heading1"/>
      </w:pPr>
      <w:r>
        <w:rPr>
          <w:rFonts w:ascii="Calibri" w:cs="Calibri" w:eastAsia="Calibri" w:hAnsi="Calibri"/>
          <w:b/>
          <w:bCs/>
          <w:color w:val="000000"/>
        </w:rPr>
        <w:t xml:space="preserve">2. Feature Engineering</w:t>
      </w:r>
    </w:p>
    <w:p>
      <w:pPr>
        <w:pStyle w:val="Heading2"/>
      </w:pPr>
      <w:r>
        <w:rPr>
          <w:rFonts w:ascii="Calibri" w:cs="Calibri" w:eastAsia="Calibri" w:hAnsi="Calibri"/>
          <w:b/>
          <w:bCs/>
          <w:color w:val="000000"/>
        </w:rPr>
        <w:t xml:space="preserve">2.1 Feature Categories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color w:val="334155"/>
          <w:sz w:val="22"/>
          <w:szCs w:val="22"/>
        </w:rPr>
        <w:t xml:space="preserve">40 features across 6 categories were used in modeling: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80"/>
        <w:gridCol w:w="2880"/>
        <w:gridCol w:w="2700"/>
      </w:tblGrid>
      <w:tr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Category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Features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Count</w:t>
            </w:r>
          </w:p>
        </w:tc>
      </w:tr>
      <w:tr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Temporal cyclical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hour_sin, hour_cos, day_sin, day_cos, month_sin, month_cos, interval_sin, interval_cos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8</w:t>
            </w:r>
          </w:p>
        </w:tc>
      </w:tr>
      <w:tr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Raw temporal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HOUR, MINUTE, MONTH, DAY, YEAR, interval_of_day, is_monday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7</w:t>
            </w:r>
          </w:p>
        </w:tc>
      </w:tr>
      <w:tr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Weather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ACT_TEMP, ACT_HEAT_INDEX, ACT_HUMIDITY, ACT_RAIN, COOL_FACTOR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5</w:t>
            </w:r>
          </w:p>
        </w:tc>
      </w:tr>
      <w:tr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Weather interactions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temp_x_peak, heat_index_x_peak, temp_x_weekend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Calendar/event flags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Holiday_Ind, Is Weekend, PEAK_Flag, Season_enc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COVID structural breaks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Lockdown, WFH, Unlock 1.0–6.0 (one-hot)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8</w:t>
            </w:r>
          </w:p>
        </w:tc>
      </w:tr>
      <w:tr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Lag features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load_t_192, load_t_672 (all ≥192 intervals = 48h offset)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Rolling statistics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rolling_mean_1h, rolling_mean_6h, rolling_std_6h, rolling_mean_24h, rolling_mean_7d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5</w:t>
            </w:r>
          </w:p>
        </w:tc>
      </w:tr>
      <w:tr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Difference features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diff_t_1, diff_1h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2</w:t>
            </w:r>
          </w:p>
        </w:tc>
      </w:tr>
    </w:tbl>
    <w:p>
      <w:pPr>
        <w:pStyle w:val="Heading2"/>
      </w:pPr>
      <w:r>
        <w:rPr>
          <w:rFonts w:ascii="Calibri" w:cs="Calibri" w:eastAsia="Calibri" w:hAnsi="Calibri"/>
          <w:b/>
          <w:bCs/>
          <w:color w:val="000000"/>
        </w:rPr>
        <w:t xml:space="preserve">2.2 Leakage Controls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color w:val="334155"/>
          <w:sz w:val="22"/>
          <w:szCs w:val="22"/>
        </w:rPr>
        <w:t xml:space="preserve">All lag features use a minimum 192-interval (48-hour) offset. This is the minimum safe horizon for a 2-day-ahead forecasting task. Features load_t_1, load_t_4, and load_t_96 (which were present in the base dataset) were explicitly excluded from modeling as they would leak future information.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color w:val="334155"/>
          <w:sz w:val="22"/>
          <w:szCs w:val="22"/>
        </w:rPr>
        <w:t xml:space="preserve">load_t_192: load value exactly 2 days prior (same interval) — minimum safe lag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color w:val="334155"/>
          <w:sz w:val="22"/>
          <w:szCs w:val="22"/>
        </w:rPr>
        <w:t xml:space="preserve">load_t_672: load value exactly 7 days prior — captures day-of-week seasonality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color w:val="334155"/>
          <w:sz w:val="22"/>
          <w:szCs w:val="22"/>
        </w:rPr>
        <w:t xml:space="preserve">Rolling features: computed on the lagged (shifted by 192) series to prevent leakage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color w:val="334155"/>
          <w:sz w:val="22"/>
          <w:szCs w:val="22"/>
        </w:rPr>
        <w:t xml:space="preserve">Test set lag seeding: training data tail (700 intervals) appended to test set before computing lags, ensuring correct historical context without leakage</w:t>
      </w:r>
    </w:p>
    <w:p>
      <w:pPr>
        <w:pStyle w:val="Heading1"/>
      </w:pPr>
      <w:r>
        <w:rPr>
          <w:rFonts w:ascii="Calibri" w:cs="Calibri" w:eastAsia="Calibri" w:hAnsi="Calibri"/>
          <w:b/>
          <w:bCs/>
          <w:color w:val="000000"/>
        </w:rPr>
        <w:t xml:space="preserve">3. Assumptions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80"/>
        <w:gridCol w:w="3780"/>
      </w:tblGrid>
      <w:tr>
        <w:tc>
          <w:tcPr>
            <w:tcW w:type="dxa" w:w="5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Assumption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Justification</w:t>
            </w:r>
          </w:p>
        </w:tc>
      </w:tr>
      <w:tr>
        <w:tc>
          <w:tcPr>
            <w:tcW w:type="dxa" w:w="5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20"/>
                <w:szCs w:val="20"/>
              </w:rPr>
              <w:t xml:space="preserve">Weather variables are available 2 days ahead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D1B2A"/>
                <w:sz w:val="20"/>
                <w:szCs w:val="20"/>
              </w:rPr>
              <w:t xml:space="preserve">Competition specification; in practice, NWP forecast values would be used</w:t>
            </w:r>
          </w:p>
        </w:tc>
      </w:tr>
      <w:tr>
        <w:tc>
          <w:tcPr>
            <w:tcW w:type="dxa" w:w="5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20"/>
                <w:szCs w:val="20"/>
              </w:rPr>
              <w:t xml:space="preserve">kW to kWh conversion: ×0.25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D1B2A"/>
                <w:sz w:val="20"/>
                <w:szCs w:val="20"/>
              </w:rPr>
              <w:t xml:space="preserve">Each 15-min interval = 0.25 hours; kW deviation × 0.25 = kWh</w:t>
            </w:r>
          </w:p>
        </w:tc>
      </w:tr>
      <w:tr>
        <w:tc>
          <w:tcPr>
            <w:tcW w:type="dxa" w:w="5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20"/>
                <w:szCs w:val="20"/>
              </w:rPr>
              <w:t xml:space="preserve">Penalty structure applies uniformly to all deviation magnitudes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D1B2A"/>
                <w:sz w:val="20"/>
                <w:szCs w:val="20"/>
              </w:rPr>
              <w:t xml:space="preserve">Linear penalty as per ABT regulatory framework</w:t>
            </w:r>
          </w:p>
        </w:tc>
      </w:tr>
      <w:tr>
        <w:tc>
          <w:tcPr>
            <w:tcW w:type="dxa" w:w="5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20"/>
                <w:szCs w:val="20"/>
              </w:rPr>
              <w:t xml:space="preserve">Cyclone Tauktae violations classified as force majeure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D1B2A"/>
                <w:sz w:val="20"/>
                <w:szCs w:val="20"/>
              </w:rPr>
              <w:t xml:space="preserve">40% demand collapse in 4 hours is physically unpredictable 48h ahead by any model</w:t>
            </w:r>
          </w:p>
        </w:tc>
      </w:tr>
      <w:tr>
        <w:tc>
          <w:tcPr>
            <w:tcW w:type="dxa" w:w="5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20"/>
                <w:szCs w:val="20"/>
              </w:rPr>
              <w:t xml:space="preserve">Stage 3 test period = Stage 2 test period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D1B2A"/>
                <w:sz w:val="20"/>
                <w:szCs w:val="20"/>
              </w:rPr>
              <w:t xml:space="preserve">No new data released; analysis is re-optimization of existing predictions</w:t>
            </w:r>
          </w:p>
        </w:tc>
      </w:tr>
      <w:tr>
        <w:tc>
          <w:tcPr>
            <w:tcW w:type="dxa" w:w="5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20"/>
                <w:szCs w:val="20"/>
              </w:rPr>
              <w:t xml:space="preserve">Holiday flags set to 0 for test period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D1B2A"/>
                <w:sz w:val="20"/>
                <w:szCs w:val="20"/>
              </w:rPr>
              <w:t xml:space="preserve">No event data provided for May–June 2021; conservative assumption</w:t>
            </w:r>
          </w:p>
        </w:tc>
      </w:tr>
      <w:tr>
        <w:tc>
          <w:tcPr>
            <w:tcW w:type="dxa" w:w="5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20"/>
                <w:szCs w:val="20"/>
              </w:rPr>
              <w:t xml:space="preserve">May–June 2021 COVID flag = Unlock 6.0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D1B2A"/>
                <w:sz w:val="20"/>
                <w:szCs w:val="20"/>
              </w:rPr>
              <w:t xml:space="preserve">Based on Maharashtra government timeline; 'Mission Begin Again' phase</w:t>
            </w:r>
          </w:p>
        </w:tc>
      </w:tr>
    </w:tbl>
    <w:p>
      <w:pPr>
        <w:pStyle w:val="Heading1"/>
      </w:pPr>
      <w:r>
        <w:rPr>
          <w:rFonts w:ascii="Calibri" w:cs="Calibri" w:eastAsia="Calibri" w:hAnsi="Calibri"/>
          <w:b/>
          <w:bCs/>
          <w:color w:val="000000"/>
        </w:rPr>
        <w:t xml:space="preserve">4. Methodology</w:t>
      </w:r>
    </w:p>
    <w:p>
      <w:pPr>
        <w:pStyle w:val="Heading2"/>
      </w:pPr>
      <w:r>
        <w:rPr>
          <w:rFonts w:ascii="Calibri" w:cs="Calibri" w:eastAsia="Calibri" w:hAnsi="Calibri"/>
          <w:b/>
          <w:bCs/>
          <w:color w:val="000000"/>
        </w:rPr>
        <w:t xml:space="preserve">4.1 Training Pipeline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color w:val="334155"/>
          <w:sz w:val="22"/>
          <w:szCs w:val="22"/>
        </w:rPr>
        <w:t xml:space="preserve">Stage 1: 80/20 temporal split (no shuffling) → models trained on 80% → validated on 20% holdout.
Stage 2–3: Models retrained on 100% of training data (Apr 2013–Apr 2021) to maximize historical signal before applying to test period (May–Jun 2021).</w:t>
      </w:r>
    </w:p>
    <w:p>
      <w:pPr>
        <w:pStyle w:val="Heading2"/>
      </w:pPr>
      <w:r>
        <w:rPr>
          <w:rFonts w:ascii="Calibri" w:cs="Calibri" w:eastAsia="Calibri" w:hAnsi="Calibri"/>
          <w:b/>
          <w:bCs/>
          <w:color w:val="000000"/>
        </w:rPr>
        <w:t xml:space="preserve">4.2 Quantile Optimization Logic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color w:val="334155"/>
          <w:sz w:val="22"/>
          <w:szCs w:val="22"/>
        </w:rPr>
        <w:t xml:space="preserve">The optimal forecast quantile under asymmetric costs follows the newsvendor formula:</w:t>
      </w:r>
    </w:p>
    <w:p>
      <w:pPr>
        <w:spacing w:after="200"/>
        <w:ind w:left="720"/>
      </w:pPr>
      <w:r>
        <w:rPr>
          <w:rFonts w:ascii="Courier New" w:cs="Courier New" w:eastAsia="Courier New" w:hAnsi="Courier New"/>
          <w:b/>
          <w:bCs/>
          <w:color w:val="0D1B2A"/>
          <w:sz w:val="24"/>
          <w:szCs w:val="24"/>
        </w:rPr>
        <w:t xml:space="preserve">q* = c_under / (c_under + c_over)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color w:val="334155"/>
          <w:sz w:val="22"/>
          <w:szCs w:val="22"/>
        </w:rPr>
        <w:t xml:space="preserve">This is mathematically equivalent to minimizing expected penalty under a linear asymmetric loss function. Key values: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color w:val="334155"/>
          <w:sz w:val="22"/>
          <w:szCs w:val="22"/>
        </w:rPr>
        <w:t xml:space="preserve">Stage 1 peak and off-peak: q* = 4/(4+2) = 0.667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color w:val="334155"/>
          <w:sz w:val="22"/>
          <w:szCs w:val="22"/>
        </w:rPr>
        <w:t xml:space="preserve">Stage 2/3 off-peak: q* = 4/(4+2) = 0.667 (unchanged)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color w:val="334155"/>
          <w:sz w:val="22"/>
          <w:szCs w:val="22"/>
        </w:rPr>
        <w:t xml:space="preserve">Stage 2/3 peak: q* = 6/(6+2) = 0.750 (50% penalty increase → 12.5% quantile shift)</w:t>
      </w:r>
    </w:p>
    <w:p>
      <w:pPr>
        <w:pStyle w:val="Heading2"/>
      </w:pPr>
      <w:r>
        <w:rPr>
          <w:rFonts w:ascii="Calibri" w:cs="Calibri" w:eastAsia="Calibri" w:hAnsi="Calibri"/>
          <w:b/>
          <w:bCs/>
          <w:color w:val="000000"/>
        </w:rPr>
        <w:t xml:space="preserve">4.3 Buffer Optimization (Stage 3)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color w:val="334155"/>
          <w:sz w:val="22"/>
          <w:szCs w:val="22"/>
        </w:rPr>
        <w:t xml:space="preserve">The C2 constraint (≤3 peak violations &gt;5% of actual) cannot be satisfied by quantile recalibration alone (Q75 had 100 violations). A grid search over additive peak buffers ∈ [0, 210] kW was conducted: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color w:val="334155"/>
          <w:sz w:val="22"/>
          <w:szCs w:val="22"/>
        </w:rPr>
        <w:t xml:space="preserve">Objective: Find minimum buffer where C2, C3, and C4 all pass simultaneously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color w:val="334155"/>
          <w:sz w:val="22"/>
          <w:szCs w:val="22"/>
        </w:rPr>
        <w:t xml:space="preserve">Result: +180 kW is the minimum feasible buffer (violations=3, bias=+2.86%, uplift=+2.63%)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color w:val="334155"/>
          <w:sz w:val="22"/>
          <w:szCs w:val="22"/>
        </w:rPr>
        <w:t xml:space="preserve">+190 kW also feasible (violations=2) but adds Rs.2,000 cost for 1 fewer violation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color w:val="334155"/>
          <w:sz w:val="22"/>
          <w:szCs w:val="22"/>
        </w:rPr>
        <w:t xml:space="preserve">+200 kW violates C3 (bias exceeds +3% hard cap)</w:t>
      </w:r>
    </w:p>
    <w:p>
      <w:pPr>
        <w:pStyle w:val="Heading1"/>
      </w:pPr>
      <w:r>
        <w:rPr>
          <w:rFonts w:ascii="Calibri" w:cs="Calibri" w:eastAsia="Calibri" w:hAnsi="Calibri"/>
          <w:b/>
          <w:bCs/>
          <w:color w:val="000000"/>
        </w:rPr>
        <w:t xml:space="preserve">5. Validation Approach</w:t>
      </w:r>
    </w:p>
    <w:p>
      <w:pPr>
        <w:pStyle w:val="Heading2"/>
      </w:pPr>
      <w:r>
        <w:rPr>
          <w:rFonts w:ascii="Calibri" w:cs="Calibri" w:eastAsia="Calibri" w:hAnsi="Calibri"/>
          <w:b/>
          <w:bCs/>
          <w:color w:val="000000"/>
        </w:rPr>
        <w:t xml:space="preserve">5.1 Stage 1 Validation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color w:val="334155"/>
          <w:sz w:val="22"/>
          <w:szCs w:val="22"/>
        </w:rPr>
        <w:t xml:space="preserve">Strict temporal holdout: training set = April 2013–September 2019 (80%), validation = September 2019–April 2021 (20%). No data shuffling. No look-ahead bias. Validation MAPE = 0.28%, penalty reduction = 96.4% vs naive baseline.</w:t>
      </w:r>
    </w:p>
    <w:p>
      <w:pPr>
        <w:pStyle w:val="Heading2"/>
      </w:pPr>
      <w:r>
        <w:rPr>
          <w:rFonts w:ascii="Calibri" w:cs="Calibri" w:eastAsia="Calibri" w:hAnsi="Calibri"/>
          <w:b/>
          <w:bCs/>
          <w:color w:val="000000"/>
        </w:rPr>
        <w:t xml:space="preserve">5.2 Stage 2–3 Out-of-Time Testing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color w:val="334155"/>
          <w:sz w:val="22"/>
          <w:szCs w:val="22"/>
        </w:rPr>
        <w:t xml:space="preserve">Test period (May–June 2021) was completely excluded from training. No hyperparameter tuning was performed using test data. The +180 kW buffer was identified through grid search on the test-period predictions — this is post-hoc recalibration, which is explicitly permitted under the board directive requirement to 'recalibrate forecasting and buffering strategy if necessary'.</w:t>
      </w:r>
    </w:p>
    <w:p>
      <w:pPr>
        <w:pStyle w:val="Heading1"/>
      </w:pPr>
      <w:r>
        <w:rPr>
          <w:rFonts w:ascii="Calibri" w:cs="Calibri" w:eastAsia="Calibri" w:hAnsi="Calibri"/>
          <w:b/>
          <w:bCs/>
          <w:color w:val="000000"/>
        </w:rPr>
        <w:t xml:space="preserve">6. Sensitivity Analysis</w:t>
      </w:r>
    </w:p>
    <w:p>
      <w:pPr>
        <w:pStyle w:val="Heading2"/>
      </w:pPr>
      <w:r>
        <w:rPr>
          <w:rFonts w:ascii="Calibri" w:cs="Calibri" w:eastAsia="Calibri" w:hAnsi="Calibri"/>
          <w:b/>
          <w:bCs/>
          <w:color w:val="000000"/>
        </w:rPr>
        <w:t xml:space="preserve">6.1 Buffer Sensitivity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80"/>
        <w:gridCol w:w="2880"/>
        <w:gridCol w:w="2700"/>
      </w:tblGrid>
      <w:tr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Buffer (kW)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Peak Violations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Total Penalty</w:t>
            </w:r>
          </w:p>
        </w:tc>
      </w:tr>
      <w:tr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0 (Q75 only)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100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Rs.1,87,963</w:t>
            </w:r>
          </w:p>
        </w:tc>
      </w:tr>
      <w:tr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60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49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Rs.1,82,958</w:t>
            </w:r>
          </w:p>
        </w:tc>
      </w:tr>
      <w:tr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120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21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Rs.1,88,749</w:t>
            </w:r>
          </w:p>
        </w:tc>
      </w:tr>
      <w:tr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160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6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Rs.1,95,377</w:t>
            </w:r>
          </w:p>
        </w:tc>
      </w:tr>
      <w:tr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175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4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Rs.1,98,265</w:t>
            </w:r>
          </w:p>
        </w:tc>
      </w:tr>
      <w:tr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180 ← SELECTED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3 ✓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Rs.1,99,279</w:t>
            </w:r>
          </w:p>
        </w:tc>
      </w:tr>
      <w:tr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190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2 ✓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Rs.2,01,354</w:t>
            </w:r>
          </w:p>
        </w:tc>
      </w:tr>
      <w:tr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200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0 ✓ (C3 FAIL)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Rs.2,03,516</w:t>
            </w:r>
          </w:p>
        </w:tc>
      </w:tr>
    </w:tbl>
    <w:p>
      <w:pPr>
        <w:pStyle w:val="Heading2"/>
      </w:pPr>
      <w:r>
        <w:rPr>
          <w:rFonts w:ascii="Calibri" w:cs="Calibri" w:eastAsia="Calibri" w:hAnsi="Calibri"/>
          <w:b/>
          <w:bCs/>
          <w:color w:val="000000"/>
        </w:rPr>
        <w:t xml:space="preserve">6.2 Penalty Rate Sensitivity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color w:val="334155"/>
          <w:sz w:val="22"/>
          <w:szCs w:val="22"/>
        </w:rPr>
        <w:t xml:space="preserve">If peak under-forecast rate changes in future stages: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80"/>
        <w:gridCol w:w="2880"/>
        <w:gridCol w:w="2700"/>
      </w:tblGrid>
      <w:tr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Peak Under Rate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Optimal q*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Strategy Implication</w:t>
            </w:r>
          </w:p>
        </w:tc>
      </w:tr>
      <w:tr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Rs.4/kWh (Stage 1)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0.667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Q67 for peak</w:t>
            </w:r>
          </w:p>
        </w:tc>
      </w:tr>
      <w:tr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Rs.6/kWh (Stage 2/3)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0.750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Q75 for peak</w:t>
            </w:r>
          </w:p>
        </w:tc>
      </w:tr>
      <w:tr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Rs.8/kWh (hypothetical)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0.800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Q80 for peak</w:t>
            </w:r>
          </w:p>
        </w:tc>
      </w:tr>
      <w:tr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Rs.10/kWh (hypothetical)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0.833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Q83 for peak</w:t>
            </w:r>
          </w:p>
        </w:tc>
      </w:tr>
    </w:tbl>
    <w:p>
      <w:pPr>
        <w:spacing w:after="160"/>
      </w:pPr>
      <w:r>
        <w:rPr>
          <w:rFonts w:ascii="Calibri" w:cs="Calibri" w:eastAsia="Calibri" w:hAnsi="Calibri"/>
          <w:b w:val="false"/>
          <w:bCs w:val="false"/>
          <w:color w:val="334155"/>
          <w:sz w:val="22"/>
          <w:szCs w:val="22"/>
        </w:rPr>
        <w:t xml:space="preserve">The pipeline is parameterized: changing PEAK_UNDER_RATE automatically recalculates the optimal quantile. The buffer grid search can be re-run in under 5 minutes.</w:t>
      </w:r>
    </w:p>
    <w:p>
      <w:pPr>
        <w:pStyle w:val="Heading2"/>
      </w:pPr>
      <w:r>
        <w:rPr>
          <w:rFonts w:ascii="Calibri" w:cs="Calibri" w:eastAsia="Calibri" w:hAnsi="Calibri"/>
          <w:b/>
          <w:bCs/>
          <w:color w:val="000000"/>
        </w:rPr>
        <w:t xml:space="preserve">6.3 Worst-Case Interval Analysis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color w:val="334155"/>
          <w:sz w:val="22"/>
          <w:szCs w:val="22"/>
        </w:rPr>
        <w:t xml:space="preserve">The 5 worst deviation intervals all occurred on May 17, 2021 (Cyclone Tauktae) between 8:00 PM and 9:30 PM — peak hours during the cyclone landfall: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80"/>
        <w:gridCol w:w="2880"/>
        <w:gridCol w:w="2700"/>
      </w:tblGrid>
      <w:tr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DateTime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Actual (kW)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Deviation (kW)</w:t>
            </w:r>
          </w:p>
        </w:tc>
      </w:tr>
      <w:tr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2021-05-17 21:00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1,014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−588.0 kW</w:t>
            </w:r>
          </w:p>
        </w:tc>
      </w:tr>
      <w:tr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2021-05-17 20:45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1,008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−586.8 kW</w:t>
            </w:r>
          </w:p>
        </w:tc>
      </w:tr>
      <w:tr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2021-05-17 20:30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1,004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−586.5 kW</w:t>
            </w:r>
          </w:p>
        </w:tc>
      </w:tr>
      <w:tr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2021-05-17 21:15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1,022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−584.6 kW</w:t>
            </w:r>
          </w:p>
        </w:tc>
      </w:tr>
      <w:tr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2021-05-17 21:30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1,028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−581.9 kW</w:t>
            </w:r>
          </w:p>
        </w:tc>
      </w:tr>
    </w:tbl>
    <w:p>
      <w:pPr>
        <w:spacing w:after="160"/>
      </w:pPr>
      <w:r>
        <w:rPr>
          <w:rFonts w:ascii="Calibri" w:cs="Calibri" w:eastAsia="Calibri" w:hAnsi="Calibri"/>
          <w:b w:val="false"/>
          <w:bCs w:val="false"/>
          <w:color w:val="334155"/>
          <w:sz w:val="22"/>
          <w:szCs w:val="22"/>
        </w:rPr>
        <w:t xml:space="preserve">Note: These are all over-forecast intervals (forecast &gt; actual) because the model predicted normal evening peak demand (~1,590–1,610 kW) while the cyclone caused an actual collapse (~1,000–1,028 kW). The additive +180 kW peak buffer increased the magnitude of these over-forecasts.</w:t>
      </w:r>
    </w:p>
    <w:p>
      <w:pPr>
        <w:pStyle w:val="Heading1"/>
      </w:pPr>
      <w:r>
        <w:rPr>
          <w:rFonts w:ascii="Calibri" w:cs="Calibri" w:eastAsia="Calibri" w:hAnsi="Calibri"/>
          <w:b/>
          <w:bCs/>
          <w:color w:val="000000"/>
        </w:rPr>
        <w:t xml:space="preserve">7. Backtest Metrics Summary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80"/>
        <w:gridCol w:w="2880"/>
        <w:gridCol w:w="2700"/>
      </w:tblGrid>
      <w:tr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Metric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Stage 1 (Validation)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Stage 3 (Test)</w:t>
            </w:r>
          </w:p>
        </w:tc>
      </w:tr>
      <w:tr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MAPE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0.28%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8.27%</w:t>
            </w:r>
          </w:p>
        </w:tc>
      </w:tr>
      <w:tr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RMSE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6.56 kW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139.82 kW</w:t>
            </w:r>
          </w:p>
        </w:tc>
      </w:tr>
      <w:tr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P95 Absolute Deviation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7.52 kW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274.01 kW</w:t>
            </w:r>
          </w:p>
        </w:tc>
      </w:tr>
      <w:tr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Forecast Bias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+0.04%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+2.76%</w:t>
            </w:r>
          </w:p>
        </w:tc>
      </w:tr>
      <w:tr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Total Penalty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Rs.1,15,500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Rs.2,00,349</w:t>
            </w:r>
          </w:p>
        </w:tc>
      </w:tr>
      <w:tr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Peak Penalty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Rs.25,078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Rs.48,639</w:t>
            </w:r>
          </w:p>
        </w:tc>
      </w:tr>
      <w:tr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Off-Peak Penalty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Rs.90,422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Rs.1,51,709</w:t>
            </w:r>
          </w:p>
        </w:tc>
      </w:tr>
      <w:tr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Peak Violations &gt;5%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0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3 (Cyclone)</w:t>
            </w:r>
          </w:p>
        </w:tc>
      </w:tr>
      <w:tr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Penalty per Interval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Rs.2.04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Rs.67.30</w:t>
            </w:r>
          </w:p>
        </w:tc>
      </w:tr>
    </w:tbl>
    <w:p>
      <w:r>
        <w:br w:type="page"/>
      </w:r>
    </w:p>
    <w:p>
      <w:pPr>
        <w:spacing w:after="200"/>
      </w:pPr>
      <w:r>
        <w:rPr>
          <w:rFonts w:ascii="Calibri" w:cs="Calibri" w:eastAsia="Calibri" w:hAnsi="Calibri"/>
          <w:color w:val="94A3B8"/>
          <w:sz w:val="20"/>
          <w:szCs w:val="20"/>
        </w:rPr>
        <w:t xml:space="preserve">End of Document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color w:val="334155"/>
          <w:sz w:val="22"/>
          <w:szCs w:val="22"/>
        </w:rPr>
        <w:t xml:space="preserve">GRIDSHIELD | Stage 3 Technical Appendix &amp; Decision Memo | NLD Synapse 2026 | Forecast Risk Advisory Team | Lumina Energy, Suburban Mumbai Distribution Zone | Confidential Board Submission | 01 March 2026</w:t>
      </w:r>
    </w:p>
    <w:sectPr>
      <w:headerReference w:type="default" r:id="rId6"/>
      <w:footerReference w:type="default" r:id="rId7"/>
      <w:pgSz w:w="12240" w:h="15840" w:orient="portrait"/>
      <w:pgMar w:top="1440" w:right="1260" w:bottom="144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94A3B8"/>
        <w:sz w:val="18"/>
        <w:szCs w:val="18"/>
      </w:rPr>
      <w:t xml:space="preserve">Page </w:t>
    </w:r>
    <w:fldSimple w:instr="PAGE"/>
    <w:r>
      <w:rPr>
        <w:rFonts w:ascii="Calibri" w:cs="Calibri" w:eastAsia="Calibri" w:hAnsi="Calibri"/>
        <w:color w:val="94A3B8"/>
        <w:sz w:val="18"/>
        <w:szCs w:val="18"/>
      </w:rPr>
      <w:t xml:space="preserve">  |  CONFIDENTIAL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4F8A" w:sz="4" w:space="1"/>
      </w:pBdr>
    </w:pPr>
    <w:r>
      <w:rPr>
        <w:rFonts w:ascii="Calibri" w:cs="Calibri" w:eastAsia="Calibri" w:hAnsi="Calibri"/>
        <w:color w:val="1B4F8A"/>
        <w:sz w:val="18"/>
        <w:szCs w:val="18"/>
      </w:rPr>
      <w:t xml:space="preserve">GRIDSHIELD | Stage 3 Technical Appendix &amp; Decision Memo</w:t>
    </w:r>
    <w:r>
      <w:rPr>
        <w:rFonts w:ascii="Calibri" w:cs="Calibri" w:eastAsia="Calibri" w:hAnsi="Calibri"/>
        <w:sz w:val="18"/>
        <w:szCs w:val="18"/>
      </w:rPr>
      <w:t xml:space="preserve">		</w:t>
    </w:r>
    <w:r>
      <w:rPr>
        <w:rFonts w:ascii="Calibri" w:cs="Calibri" w:eastAsia="Calibri" w:hAnsi="Calibri"/>
        <w:color w:val="94A3B8"/>
        <w:sz w:val="18"/>
        <w:szCs w:val="18"/>
      </w:rPr>
      <w:t xml:space="preserve">NLD Synapse 2026 | Forecast Risk Advisory Team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480" w:after="240"/>
      <w:outlineLvl w:val="0"/>
    </w:pPr>
    <w:rPr>
      <w:rFonts w:ascii="Calibri" w:cs="Calibri" w:eastAsia="Calibri" w:hAnsi="Calibri"/>
      <w:b/>
      <w:bCs/>
      <w:color w:val="0D1B2A"/>
      <w:sz w:val="36"/>
      <w:szCs w:val="36"/>
    </w:rPr>
  </w:style>
  <w:style w:type="paragraph" w:styleId="Heading2">
    <w:name w:val="Heading 2"/>
    <w:basedOn w:val="Normal"/>
    <w:next w:val="Normal"/>
    <w:qFormat/>
    <w:pPr>
      <w:spacing w:before="320" w:after="160"/>
      <w:outlineLvl w:val="1"/>
    </w:pPr>
    <w:rPr>
      <w:rFonts w:ascii="Calibri" w:cs="Calibri" w:eastAsia="Calibri" w:hAnsi="Calibri"/>
      <w:b/>
      <w:bCs/>
      <w:color w:val="1B4F8A"/>
      <w:sz w:val="28"/>
      <w:szCs w:val="28"/>
    </w:rPr>
  </w:style>
  <w:style w:type="paragraph" w:styleId="Heading3">
    <w:name w:val="Heading 3"/>
    <w:basedOn w:val="Normal"/>
    <w:next w:val="Normal"/>
    <w:qFormat/>
    <w:pPr>
      <w:spacing w:before="240" w:after="120"/>
      <w:outlineLvl w:val="2"/>
    </w:pPr>
    <w:rPr>
      <w:rFonts w:ascii="Calibri" w:cs="Calibri" w:eastAsia="Calibri" w:hAnsi="Calibri"/>
      <w:b/>
      <w:bCs/>
      <w:color w:val="0D9488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2026-02-28T20:35:12.957Z</dcterms:created>
  <dcterms:modified xsi:type="dcterms:W3CDTF">2026-02-28T20:35:12.957Z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