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B2551" w:rsidRDefault="00000000">
      <w:pPr>
        <w:spacing w:before="400" w:after="200"/>
        <w:jc w:val="center"/>
      </w:pPr>
      <w:r>
        <w:rPr>
          <w:rFonts w:ascii="Arial" w:eastAsia="Arial" w:hAnsi="Arial" w:cs="Arial"/>
          <w:b/>
          <w:bCs/>
          <w:color w:val="8BA4C0"/>
          <w:sz w:val="20"/>
          <w:szCs w:val="20"/>
        </w:rPr>
        <w:t>DECODE X | 2026  ·  CASE GRIDSHIELD</w:t>
      </w:r>
    </w:p>
    <w:p w:rsidR="009B2551" w:rsidRDefault="00000000">
      <w:pPr>
        <w:spacing w:after="80"/>
        <w:jc w:val="center"/>
      </w:pPr>
      <w:r>
        <w:rPr>
          <w:rFonts w:ascii="Arial" w:eastAsia="Arial" w:hAnsi="Arial" w:cs="Arial"/>
          <w:b/>
          <w:bCs/>
          <w:color w:val="0A1628"/>
          <w:sz w:val="72"/>
          <w:szCs w:val="72"/>
        </w:rPr>
        <w:t>GRIDSHIELD</w:t>
      </w:r>
    </w:p>
    <w:p w:rsidR="009B2551" w:rsidRDefault="00000000">
      <w:pPr>
        <w:spacing w:after="80"/>
        <w:jc w:val="center"/>
      </w:pPr>
      <w:r>
        <w:rPr>
          <w:rFonts w:ascii="Arial" w:eastAsia="Arial" w:hAnsi="Arial" w:cs="Arial"/>
          <w:color w:val="1B4F8A"/>
          <w:sz w:val="28"/>
          <w:szCs w:val="28"/>
        </w:rPr>
        <w:t>Lumina Energy — Suburban Mumbai Distribution Zone</w:t>
      </w:r>
    </w:p>
    <w:p w:rsidR="009B2551" w:rsidRDefault="00000000">
      <w:pPr>
        <w:spacing w:after="400"/>
        <w:jc w:val="center"/>
      </w:pPr>
      <w:r>
        <w:rPr>
          <w:rFonts w:ascii="Arial" w:eastAsia="Arial" w:hAnsi="Arial" w:cs="Arial"/>
          <w:b/>
          <w:bCs/>
          <w:color w:val="E8732A"/>
          <w:sz w:val="24"/>
          <w:szCs w:val="24"/>
        </w:rPr>
        <w:t>Stage 1: Baseline Diagnostic &amp; Cost-Aware Forecasting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B2551">
        <w:tblPrEx>
          <w:tblCellMar>
            <w:top w:w="0" w:type="dxa"/>
            <w:bottom w:w="0" w:type="dxa"/>
          </w:tblCellMar>
        </w:tblPrEx>
        <w:tc>
          <w:tcPr>
            <w:tcW w:w="2340" w:type="dxa"/>
            <w:tcBorders>
              <w:top w:val="single" w:sz="1" w:space="0" w:color="C5D5E8"/>
              <w:left w:val="single" w:sz="1" w:space="0" w:color="C5D5E8"/>
              <w:bottom w:val="single" w:sz="1" w:space="0" w:color="C5D5E8"/>
              <w:right w:val="single" w:sz="1" w:space="0" w:color="C5D5E8"/>
            </w:tcBorders>
            <w:shd w:val="clear" w:color="auto" w:fill="0A1628"/>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Training Period</w:t>
            </w:r>
          </w:p>
        </w:tc>
        <w:tc>
          <w:tcPr>
            <w:tcW w:w="2340" w:type="dxa"/>
            <w:tcBorders>
              <w:top w:val="single" w:sz="1" w:space="0" w:color="C5D5E8"/>
              <w:left w:val="single" w:sz="1" w:space="0" w:color="C5D5E8"/>
              <w:bottom w:val="single" w:sz="1" w:space="0" w:color="C5D5E8"/>
              <w:right w:val="single" w:sz="1" w:space="0" w:color="C5D5E8"/>
            </w:tcBorders>
            <w:shd w:val="clear" w:color="auto" w:fill="0A1628"/>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Data Points</w:t>
            </w:r>
          </w:p>
        </w:tc>
        <w:tc>
          <w:tcPr>
            <w:tcW w:w="2340" w:type="dxa"/>
            <w:tcBorders>
              <w:top w:val="single" w:sz="1" w:space="0" w:color="C5D5E8"/>
              <w:left w:val="single" w:sz="1" w:space="0" w:color="C5D5E8"/>
              <w:bottom w:val="single" w:sz="1" w:space="0" w:color="C5D5E8"/>
              <w:right w:val="single" w:sz="1" w:space="0" w:color="C5D5E8"/>
            </w:tcBorders>
            <w:shd w:val="clear" w:color="auto" w:fill="0A1628"/>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MAPE</w:t>
            </w:r>
          </w:p>
        </w:tc>
        <w:tc>
          <w:tcPr>
            <w:tcW w:w="2340" w:type="dxa"/>
            <w:tcBorders>
              <w:top w:val="single" w:sz="1" w:space="0" w:color="C5D5E8"/>
              <w:left w:val="single" w:sz="1" w:space="0" w:color="C5D5E8"/>
              <w:bottom w:val="single" w:sz="1" w:space="0" w:color="C5D5E8"/>
              <w:right w:val="single" w:sz="1" w:space="0" w:color="C5D5E8"/>
            </w:tcBorders>
            <w:shd w:val="clear" w:color="auto" w:fill="0A1628"/>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Penalty Reduction</w:t>
            </w:r>
          </w:p>
        </w:tc>
      </w:tr>
      <w:tr w:rsidR="009B2551">
        <w:tblPrEx>
          <w:tblCellMar>
            <w:top w:w="0" w:type="dxa"/>
            <w:bottom w:w="0" w:type="dxa"/>
          </w:tblCellMar>
        </w:tblPrEx>
        <w:tc>
          <w:tcPr>
            <w:tcW w:w="234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1B4F8A"/>
                <w:sz w:val="18"/>
                <w:szCs w:val="18"/>
              </w:rPr>
              <w:t>8 Years</w:t>
            </w:r>
          </w:p>
        </w:tc>
        <w:tc>
          <w:tcPr>
            <w:tcW w:w="234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1B4F8A"/>
                <w:sz w:val="18"/>
                <w:szCs w:val="18"/>
              </w:rPr>
              <w:t>2,83,391</w:t>
            </w:r>
          </w:p>
        </w:tc>
        <w:tc>
          <w:tcPr>
            <w:tcW w:w="234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2E7D32"/>
                <w:sz w:val="18"/>
                <w:szCs w:val="18"/>
              </w:rPr>
              <w:t>0.27%</w:t>
            </w:r>
          </w:p>
        </w:tc>
        <w:tc>
          <w:tcPr>
            <w:tcW w:w="234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C62828"/>
                <w:sz w:val="18"/>
                <w:szCs w:val="18"/>
              </w:rPr>
              <w:t>96.4%</w:t>
            </w:r>
          </w:p>
        </w:tc>
      </w:tr>
    </w:tbl>
    <w:p w:rsidR="009B2551" w:rsidRDefault="009B2551">
      <w:pPr>
        <w:spacing w:after="160"/>
      </w:pPr>
    </w:p>
    <w:p w:rsidR="009B2551" w:rsidRDefault="00000000">
      <w:pPr>
        <w:jc w:val="center"/>
      </w:pPr>
      <w:r>
        <w:rPr>
          <w:rFonts w:cs="Calibri"/>
          <w:color w:val="8BA4C0"/>
          <w:sz w:val="18"/>
          <w:szCs w:val="18"/>
        </w:rPr>
        <w:t>Prepared by: Forecast Risk Advisory Team  |  28 February 2026</w:t>
      </w:r>
    </w:p>
    <w:p w:rsidR="009B2551" w:rsidRDefault="00000000">
      <w:r>
        <w:br w:type="page"/>
      </w:r>
    </w:p>
    <w:p w:rsidR="009B2551" w:rsidRDefault="00000000">
      <w:pPr>
        <w:pStyle w:val="Heading1"/>
        <w:pBdr>
          <w:bottom w:val="single" w:sz="6" w:space="4" w:color="1B4F8A"/>
        </w:pBdr>
      </w:pPr>
      <w:r>
        <w:lastRenderedPageBreak/>
        <w:t>1. Executive Summary</w:t>
      </w:r>
    </w:p>
    <w:p w:rsidR="009B2551" w:rsidRDefault="00000000">
      <w:pPr>
        <w:spacing w:before="60" w:after="60"/>
        <w:jc w:val="both"/>
      </w:pPr>
      <w:r>
        <w:rPr>
          <w:rFonts w:cs="Calibri"/>
          <w:color w:val="4A5568"/>
        </w:rPr>
        <w:t>Lumina Energy operates a suburban Mumbai electricity distribution zone under Maharashtra's Availability Based Tariff (ABT) framework. Under ABT, the utility must submit a 2-day ahead load forecast at 15-minute resolution to the State Load Dispatch Centre (SLDC). Deviations from the submitted schedule attract financial penalties that are structurally asymmetric: under-forecasting (actual load exceeds forecast) is penalized at Rs. 4 per kWh, while over-forecasting is penalized at Rs. 2 per kWh.</w:t>
      </w:r>
    </w:p>
    <w:p w:rsidR="009B2551" w:rsidRDefault="009B2551">
      <w:pPr>
        <w:spacing w:after="80"/>
      </w:pPr>
    </w:p>
    <w:p w:rsidR="009B2551" w:rsidRDefault="00000000">
      <w:pPr>
        <w:spacing w:before="60" w:after="60"/>
        <w:jc w:val="both"/>
      </w:pPr>
      <w:r>
        <w:rPr>
          <w:rFonts w:cs="Calibri"/>
          <w:color w:val="4A5568"/>
        </w:rPr>
        <w:t xml:space="preserve">This report documents the end-to-end forecasting solution developed by the Forecast Risk Advisory Team for Stage 1. The core insight driving our approach is that the objective function is not forecast accuracy in the RMSE sense — it is expected financial penalty minimization under an asymmetric cost structure. This demands a fundamentally different </w:t>
      </w:r>
      <w:proofErr w:type="spellStart"/>
      <w:r>
        <w:rPr>
          <w:rFonts w:cs="Calibri"/>
          <w:color w:val="4A5568"/>
        </w:rPr>
        <w:t>modeling</w:t>
      </w:r>
      <w:proofErr w:type="spellEnd"/>
      <w:r>
        <w:rPr>
          <w:rFonts w:cs="Calibri"/>
          <w:color w:val="4A5568"/>
        </w:rPr>
        <w:t xml:space="preserve"> strategy: rather than targeting the conditional mean, the optimal forecast targets the 66.7th percentile of the load distribution (q* = 4/(4+2) = 0.667).</w:t>
      </w:r>
    </w:p>
    <w:p w:rsidR="009B2551" w:rsidRDefault="009B2551">
      <w:pPr>
        <w:spacing w:after="80"/>
      </w:pPr>
    </w:p>
    <w:p w:rsidR="009B2551" w:rsidRDefault="00000000">
      <w:pPr>
        <w:spacing w:before="60" w:after="60"/>
        <w:jc w:val="both"/>
      </w:pPr>
      <w:r>
        <w:rPr>
          <w:rFonts w:cs="Calibri"/>
          <w:color w:val="4A5568"/>
        </w:rPr>
        <w:t>Our solution employs Histogram Gradient Boosting Regression (</w:t>
      </w:r>
      <w:proofErr w:type="spellStart"/>
      <w:r>
        <w:rPr>
          <w:rFonts w:cs="Calibri"/>
          <w:color w:val="4A5568"/>
        </w:rPr>
        <w:t>HistGBR</w:t>
      </w:r>
      <w:proofErr w:type="spellEnd"/>
      <w:r>
        <w:rPr>
          <w:rFonts w:cs="Calibri"/>
          <w:color w:val="4A5568"/>
        </w:rPr>
        <w:t>) with 40+ engineered features spanning temporal cyclicals, lagged loads, weather interactions, COVID structural break indicators, and calendar flags. On the validation set (September 2019 to April 2021), the model achieves a Mean Absolute Percentage Error of 0.27%, an RMSE of 6.43 kW, and reduces the total ABT deviation penalty by 96.4% compared to a naive 2-day-lag baseline — saving an equivalent of Rs. 31.3 lakhs over the validation period.</w:t>
      </w:r>
    </w:p>
    <w:p w:rsidR="009B2551" w:rsidRDefault="009B2551">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B2551">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1B4F8A"/>
            <w:tcMar>
              <w:top w:w="100" w:type="dxa"/>
              <w:left w:w="160" w:type="dxa"/>
              <w:bottom w:w="100" w:type="dxa"/>
              <w:right w:w="160" w:type="dxa"/>
            </w:tcMar>
          </w:tcPr>
          <w:p w:rsidR="009B2551" w:rsidRDefault="00000000">
            <w:pPr>
              <w:jc w:val="center"/>
            </w:pPr>
            <w:r>
              <w:rPr>
                <w:rFonts w:ascii="Arial" w:eastAsia="Arial" w:hAnsi="Arial" w:cs="Arial"/>
                <w:color w:val="C5D8EF"/>
                <w:sz w:val="18"/>
                <w:szCs w:val="18"/>
              </w:rPr>
              <w:t>Total Penalty — Naive Baseline</w:t>
            </w:r>
          </w:p>
        </w:tc>
        <w:tc>
          <w:tcPr>
            <w:tcW w:w="4680" w:type="dxa"/>
            <w:tcBorders>
              <w:top w:val="none" w:sz="0" w:space="0" w:color="FFFFFF"/>
              <w:left w:val="none" w:sz="0" w:space="0" w:color="FFFFFF"/>
              <w:bottom w:val="none" w:sz="0" w:space="0" w:color="FFFFFF"/>
              <w:right w:val="none" w:sz="0" w:space="0" w:color="FFFFFF"/>
            </w:tcBorders>
            <w:shd w:val="clear" w:color="auto" w:fill="0A1628"/>
            <w:tcMar>
              <w:top w:w="100" w:type="dxa"/>
              <w:left w:w="160" w:type="dxa"/>
              <w:bottom w:w="100" w:type="dxa"/>
              <w:right w:w="160" w:type="dxa"/>
            </w:tcMar>
          </w:tcPr>
          <w:p w:rsidR="009B2551" w:rsidRDefault="00000000">
            <w:pPr>
              <w:jc w:val="center"/>
            </w:pPr>
            <w:r>
              <w:rPr>
                <w:rFonts w:ascii="Arial" w:eastAsia="Arial" w:hAnsi="Arial" w:cs="Arial"/>
                <w:b/>
                <w:bCs/>
                <w:color w:val="E8732A"/>
                <w:sz w:val="28"/>
                <w:szCs w:val="28"/>
              </w:rPr>
              <w:t>Rs. 32.5 Lakhs</w:t>
            </w:r>
          </w:p>
        </w:tc>
      </w:tr>
    </w:tbl>
    <w:p w:rsidR="009B2551" w:rsidRDefault="009B255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B2551">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1B4F8A"/>
            <w:tcMar>
              <w:top w:w="100" w:type="dxa"/>
              <w:left w:w="160" w:type="dxa"/>
              <w:bottom w:w="100" w:type="dxa"/>
              <w:right w:w="160" w:type="dxa"/>
            </w:tcMar>
          </w:tcPr>
          <w:p w:rsidR="009B2551" w:rsidRDefault="00000000">
            <w:pPr>
              <w:jc w:val="center"/>
            </w:pPr>
            <w:r>
              <w:rPr>
                <w:rFonts w:ascii="Arial" w:eastAsia="Arial" w:hAnsi="Arial" w:cs="Arial"/>
                <w:color w:val="C5D8EF"/>
                <w:sz w:val="18"/>
                <w:szCs w:val="18"/>
              </w:rPr>
              <w:t>Total Penalty — Our Model (Mean)</w:t>
            </w:r>
          </w:p>
        </w:tc>
        <w:tc>
          <w:tcPr>
            <w:tcW w:w="4680" w:type="dxa"/>
            <w:tcBorders>
              <w:top w:val="none" w:sz="0" w:space="0" w:color="FFFFFF"/>
              <w:left w:val="none" w:sz="0" w:space="0" w:color="FFFFFF"/>
              <w:bottom w:val="none" w:sz="0" w:space="0" w:color="FFFFFF"/>
              <w:right w:val="none" w:sz="0" w:space="0" w:color="FFFFFF"/>
            </w:tcBorders>
            <w:shd w:val="clear" w:color="auto" w:fill="0A1628"/>
            <w:tcMar>
              <w:top w:w="100" w:type="dxa"/>
              <w:left w:w="160" w:type="dxa"/>
              <w:bottom w:w="100" w:type="dxa"/>
              <w:right w:w="160" w:type="dxa"/>
            </w:tcMar>
          </w:tcPr>
          <w:p w:rsidR="009B2551" w:rsidRDefault="00000000">
            <w:pPr>
              <w:jc w:val="center"/>
            </w:pPr>
            <w:r>
              <w:rPr>
                <w:rFonts w:ascii="Arial" w:eastAsia="Arial" w:hAnsi="Arial" w:cs="Arial"/>
                <w:b/>
                <w:bCs/>
                <w:color w:val="E8732A"/>
                <w:sz w:val="28"/>
                <w:szCs w:val="28"/>
              </w:rPr>
              <w:t>Rs. 1.16 Lakhs</w:t>
            </w:r>
          </w:p>
        </w:tc>
      </w:tr>
    </w:tbl>
    <w:p w:rsidR="009B2551" w:rsidRDefault="009B2551"/>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B2551">
        <w:tblPrEx>
          <w:tblCellMar>
            <w:top w:w="0" w:type="dxa"/>
            <w:bottom w:w="0" w:type="dxa"/>
          </w:tblCellMar>
        </w:tblPrEx>
        <w:tc>
          <w:tcPr>
            <w:tcW w:w="4680" w:type="dxa"/>
            <w:tcBorders>
              <w:top w:val="none" w:sz="0" w:space="0" w:color="FFFFFF"/>
              <w:left w:val="none" w:sz="0" w:space="0" w:color="FFFFFF"/>
              <w:bottom w:val="none" w:sz="0" w:space="0" w:color="FFFFFF"/>
              <w:right w:val="none" w:sz="0" w:space="0" w:color="FFFFFF"/>
            </w:tcBorders>
            <w:shd w:val="clear" w:color="auto" w:fill="1B4F8A"/>
            <w:tcMar>
              <w:top w:w="100" w:type="dxa"/>
              <w:left w:w="160" w:type="dxa"/>
              <w:bottom w:w="100" w:type="dxa"/>
              <w:right w:w="160" w:type="dxa"/>
            </w:tcMar>
          </w:tcPr>
          <w:p w:rsidR="009B2551" w:rsidRDefault="00000000">
            <w:pPr>
              <w:jc w:val="center"/>
            </w:pPr>
            <w:r>
              <w:rPr>
                <w:rFonts w:ascii="Arial" w:eastAsia="Arial" w:hAnsi="Arial" w:cs="Arial"/>
                <w:color w:val="C5D8EF"/>
                <w:sz w:val="18"/>
                <w:szCs w:val="18"/>
              </w:rPr>
              <w:t>Penalty Reduction Achieved</w:t>
            </w:r>
          </w:p>
        </w:tc>
        <w:tc>
          <w:tcPr>
            <w:tcW w:w="4680" w:type="dxa"/>
            <w:tcBorders>
              <w:top w:val="none" w:sz="0" w:space="0" w:color="FFFFFF"/>
              <w:left w:val="none" w:sz="0" w:space="0" w:color="FFFFFF"/>
              <w:bottom w:val="none" w:sz="0" w:space="0" w:color="FFFFFF"/>
              <w:right w:val="none" w:sz="0" w:space="0" w:color="FFFFFF"/>
            </w:tcBorders>
            <w:shd w:val="clear" w:color="auto" w:fill="0A1628"/>
            <w:tcMar>
              <w:top w:w="100" w:type="dxa"/>
              <w:left w:w="160" w:type="dxa"/>
              <w:bottom w:w="100" w:type="dxa"/>
              <w:right w:w="160" w:type="dxa"/>
            </w:tcMar>
          </w:tcPr>
          <w:p w:rsidR="009B2551" w:rsidRDefault="00000000">
            <w:pPr>
              <w:jc w:val="center"/>
            </w:pPr>
            <w:r>
              <w:rPr>
                <w:rFonts w:ascii="Arial" w:eastAsia="Arial" w:hAnsi="Arial" w:cs="Arial"/>
                <w:b/>
                <w:bCs/>
                <w:color w:val="E8732A"/>
                <w:sz w:val="28"/>
                <w:szCs w:val="28"/>
              </w:rPr>
              <w:t>96.4%</w:t>
            </w:r>
          </w:p>
        </w:tc>
      </w:tr>
    </w:tbl>
    <w:p w:rsidR="009B2551" w:rsidRDefault="00000000">
      <w:r>
        <w:br w:type="page"/>
      </w:r>
    </w:p>
    <w:p w:rsidR="009B2551" w:rsidRDefault="00000000">
      <w:pPr>
        <w:pStyle w:val="Heading1"/>
        <w:pBdr>
          <w:bottom w:val="single" w:sz="6" w:space="4" w:color="1B4F8A"/>
        </w:pBdr>
      </w:pPr>
      <w:r>
        <w:lastRenderedPageBreak/>
        <w:t>2. Problem Statement &amp; Regulatory Framework</w:t>
      </w:r>
    </w:p>
    <w:p w:rsidR="009B2551" w:rsidRDefault="00000000">
      <w:pPr>
        <w:pStyle w:val="Heading2"/>
      </w:pPr>
      <w:r>
        <w:t>2.1 Business Context</w:t>
      </w:r>
    </w:p>
    <w:p w:rsidR="009B2551" w:rsidRDefault="00000000">
      <w:pPr>
        <w:spacing w:before="60" w:after="60"/>
        <w:jc w:val="both"/>
      </w:pPr>
      <w:r>
        <w:rPr>
          <w:rFonts w:cs="Calibri"/>
          <w:color w:val="4A5568"/>
        </w:rPr>
        <w:t>Lumina Energy distributes electricity to suburban Mumbai consumers. Under Maharashtra's ABT framework, all Power Distribution Companies (discoms) are required to submit a Day-Ahead Schedule (DAS) and a 2-day ahead load forecast at 15-minute resolution to the State Load Dispatch Centre. The SLDC uses these schedules to balance regional grid supply and demand.</w:t>
      </w:r>
    </w:p>
    <w:p w:rsidR="009B2551" w:rsidRDefault="00000000">
      <w:pPr>
        <w:pStyle w:val="Heading2"/>
      </w:pPr>
      <w:r>
        <w:t>2.2 Penalty Structure</w:t>
      </w:r>
    </w:p>
    <w:p w:rsidR="009B2551" w:rsidRDefault="00000000">
      <w:pPr>
        <w:spacing w:before="60" w:after="60"/>
        <w:jc w:val="both"/>
      </w:pPr>
      <w:r>
        <w:rPr>
          <w:rFonts w:cs="Calibri"/>
          <w:color w:val="4A5568"/>
        </w:rPr>
        <w:t>Deviations from the submitted forecast attract financial penalties under the following asymmetric structure:</w:t>
      </w:r>
    </w:p>
    <w:p w:rsidR="009B2551" w:rsidRDefault="009B25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Condition</w:t>
            </w:r>
          </w:p>
        </w:tc>
        <w:tc>
          <w:tcPr>
            <w:tcW w:w="312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Penalty Rate</w:t>
            </w:r>
          </w:p>
        </w:tc>
        <w:tc>
          <w:tcPr>
            <w:tcW w:w="312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Business Impact</w:t>
            </w:r>
          </w:p>
        </w:tc>
      </w:tr>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b/>
                <w:bCs/>
                <w:color w:val="C62828"/>
                <w:sz w:val="18"/>
                <w:szCs w:val="18"/>
              </w:rPr>
              <w:t>Actual &gt; Forecast (Under-forecast)</w:t>
            </w:r>
          </w:p>
        </w:tc>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C62828"/>
                <w:sz w:val="18"/>
                <w:szCs w:val="18"/>
              </w:rPr>
              <w:t>Rs. 4 per kWh deviation</w:t>
            </w:r>
          </w:p>
        </w:tc>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 xml:space="preserve">Costly grid </w:t>
            </w:r>
            <w:proofErr w:type="spellStart"/>
            <w:r>
              <w:rPr>
                <w:rFonts w:cs="Calibri"/>
                <w:color w:val="4A5568"/>
                <w:sz w:val="18"/>
                <w:szCs w:val="18"/>
              </w:rPr>
              <w:t>drawal</w:t>
            </w:r>
            <w:proofErr w:type="spellEnd"/>
            <w:r>
              <w:rPr>
                <w:rFonts w:cs="Calibri"/>
                <w:color w:val="4A5568"/>
                <w:sz w:val="18"/>
                <w:szCs w:val="18"/>
              </w:rPr>
              <w:t>; 2x penalty</w:t>
            </w:r>
          </w:p>
        </w:tc>
      </w:tr>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r>
              <w:rPr>
                <w:rFonts w:cs="Calibri"/>
                <w:b/>
                <w:bCs/>
                <w:color w:val="1B4F8A"/>
                <w:sz w:val="18"/>
                <w:szCs w:val="18"/>
              </w:rPr>
              <w:t>Forecast &gt; Actual (Over-forecast)</w:t>
            </w:r>
          </w:p>
        </w:tc>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1B4F8A"/>
                <w:sz w:val="18"/>
                <w:szCs w:val="18"/>
              </w:rPr>
              <w:t>Rs. 2 per kWh deviation</w:t>
            </w:r>
          </w:p>
        </w:tc>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r>
              <w:rPr>
                <w:rFonts w:cs="Calibri"/>
                <w:color w:val="4A5568"/>
                <w:sz w:val="18"/>
                <w:szCs w:val="18"/>
              </w:rPr>
              <w:t>Inefficiency + deviation charge</w:t>
            </w:r>
          </w:p>
        </w:tc>
      </w:tr>
    </w:tbl>
    <w:p w:rsidR="009B2551" w:rsidRDefault="009B2551">
      <w:pPr>
        <w:spacing w:after="80"/>
      </w:pPr>
    </w:p>
    <w:p w:rsidR="009B2551" w:rsidRDefault="00000000">
      <w:pPr>
        <w:spacing w:before="60" w:after="60"/>
        <w:jc w:val="both"/>
      </w:pPr>
      <w:r>
        <w:rPr>
          <w:rFonts w:cs="Calibri"/>
          <w:color w:val="4A5568"/>
        </w:rPr>
        <w:t>Peak hours (6:00 PM to 10:00 PM) carry elevated system risk. In Stage 1, base penalty rates apply uniformly. Since under-forecasting costs exactly twice as much as over-forecasting, the economically optimal strategy is to forecast the 66.7th percentile of the load distribution rather than the conditional mean.</w:t>
      </w:r>
    </w:p>
    <w:p w:rsidR="009B2551" w:rsidRDefault="00000000">
      <w:pPr>
        <w:pStyle w:val="Heading2"/>
      </w:pPr>
      <w:r>
        <w:t>2.3 Optimal Quantile Derivation</w:t>
      </w:r>
    </w:p>
    <w:p w:rsidR="009B2551" w:rsidRDefault="00000000">
      <w:pPr>
        <w:spacing w:before="60" w:after="60"/>
        <w:jc w:val="both"/>
      </w:pPr>
      <w:r>
        <w:rPr>
          <w:rFonts w:cs="Calibri"/>
          <w:color w:val="4A5568"/>
        </w:rPr>
        <w:t>Under the newsvendor-type asymmetric loss framework, the optimal forecast quantile q* satisfies:</w:t>
      </w:r>
    </w:p>
    <w:p w:rsidR="009B2551" w:rsidRDefault="009B2551">
      <w:pPr>
        <w:spacing w:after="80"/>
      </w:pPr>
    </w:p>
    <w:p w:rsidR="009B2551" w:rsidRDefault="00000000">
      <w:pPr>
        <w:spacing w:before="100" w:after="100"/>
        <w:jc w:val="center"/>
      </w:pPr>
      <w:r>
        <w:rPr>
          <w:rFonts w:ascii="Courier New" w:eastAsia="Courier New" w:hAnsi="Courier New" w:cs="Courier New"/>
          <w:b/>
          <w:bCs/>
          <w:color w:val="0A1628"/>
          <w:sz w:val="26"/>
          <w:szCs w:val="26"/>
        </w:rPr>
        <w:t xml:space="preserve">q* = </w:t>
      </w:r>
      <w:proofErr w:type="spellStart"/>
      <w:r>
        <w:rPr>
          <w:rFonts w:ascii="Courier New" w:eastAsia="Courier New" w:hAnsi="Courier New" w:cs="Courier New"/>
          <w:b/>
          <w:bCs/>
          <w:color w:val="0A1628"/>
          <w:sz w:val="26"/>
          <w:szCs w:val="26"/>
        </w:rPr>
        <w:t>c_under</w:t>
      </w:r>
      <w:proofErr w:type="spellEnd"/>
      <w:r>
        <w:rPr>
          <w:rFonts w:ascii="Courier New" w:eastAsia="Courier New" w:hAnsi="Courier New" w:cs="Courier New"/>
          <w:b/>
          <w:bCs/>
          <w:color w:val="0A1628"/>
          <w:sz w:val="26"/>
          <w:szCs w:val="26"/>
        </w:rPr>
        <w:t xml:space="preserve"> / (</w:t>
      </w:r>
      <w:proofErr w:type="spellStart"/>
      <w:r>
        <w:rPr>
          <w:rFonts w:ascii="Courier New" w:eastAsia="Courier New" w:hAnsi="Courier New" w:cs="Courier New"/>
          <w:b/>
          <w:bCs/>
          <w:color w:val="0A1628"/>
          <w:sz w:val="26"/>
          <w:szCs w:val="26"/>
        </w:rPr>
        <w:t>c_under</w:t>
      </w:r>
      <w:proofErr w:type="spellEnd"/>
      <w:r>
        <w:rPr>
          <w:rFonts w:ascii="Courier New" w:eastAsia="Courier New" w:hAnsi="Courier New" w:cs="Courier New"/>
          <w:b/>
          <w:bCs/>
          <w:color w:val="0A1628"/>
          <w:sz w:val="26"/>
          <w:szCs w:val="26"/>
        </w:rPr>
        <w:t xml:space="preserve"> + </w:t>
      </w:r>
      <w:proofErr w:type="spellStart"/>
      <w:r>
        <w:rPr>
          <w:rFonts w:ascii="Courier New" w:eastAsia="Courier New" w:hAnsi="Courier New" w:cs="Courier New"/>
          <w:b/>
          <w:bCs/>
          <w:color w:val="0A1628"/>
          <w:sz w:val="26"/>
          <w:szCs w:val="26"/>
        </w:rPr>
        <w:t>c_over</w:t>
      </w:r>
      <w:proofErr w:type="spellEnd"/>
      <w:r>
        <w:rPr>
          <w:rFonts w:ascii="Courier New" w:eastAsia="Courier New" w:hAnsi="Courier New" w:cs="Courier New"/>
          <w:b/>
          <w:bCs/>
          <w:color w:val="0A1628"/>
          <w:sz w:val="26"/>
          <w:szCs w:val="26"/>
        </w:rPr>
        <w:t>) = 4 / (4 + 2) = 0.667</w:t>
      </w:r>
    </w:p>
    <w:p w:rsidR="009B2551" w:rsidRDefault="009B2551">
      <w:pPr>
        <w:spacing w:after="80"/>
      </w:pPr>
    </w:p>
    <w:p w:rsidR="009B2551" w:rsidRDefault="00000000">
      <w:pPr>
        <w:spacing w:before="60" w:after="60"/>
        <w:jc w:val="both"/>
      </w:pPr>
      <w:r>
        <w:rPr>
          <w:rFonts w:cs="Calibri"/>
          <w:color w:val="4A5568"/>
        </w:rPr>
        <w:t>This means our model should intentionally produce forecasts that are slightly above the median — biased upward by an amount calibrated to the cost asymmetry. This is the central theoretical insight that separates our approach from teams that naively minimize RMSE.</w:t>
      </w:r>
    </w:p>
    <w:p w:rsidR="009B2551" w:rsidRDefault="00000000">
      <w:r>
        <w:br w:type="page"/>
      </w:r>
    </w:p>
    <w:p w:rsidR="009B2551" w:rsidRDefault="00000000">
      <w:pPr>
        <w:pStyle w:val="Heading1"/>
        <w:pBdr>
          <w:bottom w:val="single" w:sz="6" w:space="4" w:color="1B4F8A"/>
        </w:pBdr>
      </w:pPr>
      <w:r>
        <w:lastRenderedPageBreak/>
        <w:t>3. Dataset Description &amp; Preprocessing</w:t>
      </w:r>
    </w:p>
    <w:p w:rsidR="009B2551" w:rsidRDefault="00000000">
      <w:pPr>
        <w:pStyle w:val="Heading2"/>
      </w:pPr>
      <w:r>
        <w:t>3.1 Data Sources</w:t>
      </w:r>
    </w:p>
    <w:p w:rsidR="009B2551" w:rsidRDefault="00000000">
      <w:pPr>
        <w:spacing w:before="60" w:after="60"/>
        <w:jc w:val="both"/>
      </w:pPr>
      <w:r>
        <w:rPr>
          <w:rFonts w:cs="Calibri"/>
          <w:color w:val="4A5568"/>
        </w:rPr>
        <w:t xml:space="preserve">Three data sources were merged into a unified </w:t>
      </w:r>
      <w:proofErr w:type="spellStart"/>
      <w:r>
        <w:rPr>
          <w:rFonts w:cs="Calibri"/>
          <w:color w:val="4A5568"/>
        </w:rPr>
        <w:t>modeling</w:t>
      </w:r>
      <w:proofErr w:type="spellEnd"/>
      <w:r>
        <w:rPr>
          <w:rFonts w:cs="Calibri"/>
          <w:color w:val="4A5568"/>
        </w:rPr>
        <w:t xml:space="preserve"> dataset:</w:t>
      </w:r>
    </w:p>
    <w:p w:rsidR="009B2551" w:rsidRDefault="00000000">
      <w:pPr>
        <w:pStyle w:val="ListParagraph"/>
        <w:numPr>
          <w:ilvl w:val="0"/>
          <w:numId w:val="2"/>
        </w:numPr>
        <w:spacing w:before="40" w:after="40"/>
      </w:pPr>
      <w:r>
        <w:rPr>
          <w:color w:val="4A5568"/>
        </w:rPr>
        <w:t xml:space="preserve">Electric Load Data: </w:t>
      </w:r>
      <w:proofErr w:type="spellStart"/>
      <w:r>
        <w:rPr>
          <w:color w:val="4A5568"/>
        </w:rPr>
        <w:t>DateTime</w:t>
      </w:r>
      <w:proofErr w:type="spellEnd"/>
      <w:r>
        <w:rPr>
          <w:color w:val="4A5568"/>
        </w:rPr>
        <w:t xml:space="preserve"> (15-min intervals) and Load (kW) spanning April 1, 2013 to April 30, 2021 — </w:t>
      </w:r>
      <w:proofErr w:type="spellStart"/>
      <w:r>
        <w:rPr>
          <w:color w:val="4A5568"/>
        </w:rPr>
        <w:t>totaling</w:t>
      </w:r>
      <w:proofErr w:type="spellEnd"/>
      <w:r>
        <w:rPr>
          <w:color w:val="4A5568"/>
        </w:rPr>
        <w:t xml:space="preserve"> 283,391 observations.</w:t>
      </w:r>
    </w:p>
    <w:p w:rsidR="009B2551" w:rsidRDefault="00000000">
      <w:pPr>
        <w:pStyle w:val="ListParagraph"/>
        <w:numPr>
          <w:ilvl w:val="0"/>
          <w:numId w:val="2"/>
        </w:numPr>
        <w:spacing w:before="40" w:after="40"/>
      </w:pPr>
      <w:r>
        <w:rPr>
          <w:color w:val="4A5568"/>
        </w:rPr>
        <w:t>Weather Variables (15-min aligned): Actual Temperature, Heat Index, Humidity, Rainfall, and Cool Factor.</w:t>
      </w:r>
    </w:p>
    <w:p w:rsidR="009B2551" w:rsidRDefault="00000000">
      <w:pPr>
        <w:pStyle w:val="ListParagraph"/>
        <w:numPr>
          <w:ilvl w:val="0"/>
          <w:numId w:val="2"/>
        </w:numPr>
        <w:spacing w:before="40" w:after="40"/>
      </w:pPr>
      <w:r>
        <w:rPr>
          <w:color w:val="4A5568"/>
        </w:rPr>
        <w:t>Event Data: Date, Event Name, Holiday Indicator (binary), and Remarks. Used to construct calendar and structural break features.</w:t>
      </w:r>
    </w:p>
    <w:p w:rsidR="009B2551" w:rsidRDefault="00000000">
      <w:pPr>
        <w:pStyle w:val="Heading2"/>
      </w:pPr>
      <w:r>
        <w:t>3.2 Dataset Statistics</w:t>
      </w:r>
    </w:p>
    <w:p w:rsidR="009B2551" w:rsidRDefault="009B25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Statistic</w:t>
            </w:r>
          </w:p>
        </w:tc>
        <w:tc>
          <w:tcPr>
            <w:tcW w:w="312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Value</w:t>
            </w:r>
          </w:p>
        </w:tc>
        <w:tc>
          <w:tcPr>
            <w:tcW w:w="312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Notes</w:t>
            </w:r>
          </w:p>
        </w:tc>
      </w:tr>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color w:val="4A5568"/>
                <w:sz w:val="18"/>
                <w:szCs w:val="18"/>
              </w:rPr>
              <w:t>Total Rows</w:t>
            </w:r>
          </w:p>
        </w:tc>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1B4F8A"/>
                <w:sz w:val="18"/>
                <w:szCs w:val="18"/>
              </w:rPr>
              <w:t>2,83,391</w:t>
            </w:r>
          </w:p>
        </w:tc>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~8 years x 96 intervals/day</w:t>
            </w:r>
          </w:p>
        </w:tc>
      </w:tr>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color w:val="4A5568"/>
                <w:sz w:val="18"/>
                <w:szCs w:val="18"/>
              </w:rPr>
              <w:t>Load Range</w:t>
            </w:r>
          </w:p>
        </w:tc>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1B4F8A"/>
                <w:sz w:val="18"/>
                <w:szCs w:val="18"/>
              </w:rPr>
              <w:t>331 – 1,964 kW</w:t>
            </w:r>
          </w:p>
        </w:tc>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r>
              <w:rPr>
                <w:rFonts w:cs="Calibri"/>
                <w:color w:val="4A5568"/>
                <w:sz w:val="18"/>
                <w:szCs w:val="18"/>
              </w:rPr>
              <w:t>Min during COVID lockdown</w:t>
            </w:r>
          </w:p>
        </w:tc>
      </w:tr>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color w:val="4A5568"/>
                <w:sz w:val="18"/>
                <w:szCs w:val="18"/>
              </w:rPr>
              <w:t>Mean Load</w:t>
            </w:r>
          </w:p>
        </w:tc>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1B4F8A"/>
                <w:sz w:val="18"/>
                <w:szCs w:val="18"/>
              </w:rPr>
              <w:t>1,225.6 kW</w:t>
            </w:r>
          </w:p>
        </w:tc>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Median: 1,229 kW</w:t>
            </w:r>
          </w:p>
        </w:tc>
      </w:tr>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color w:val="4A5568"/>
                <w:sz w:val="18"/>
                <w:szCs w:val="18"/>
              </w:rPr>
              <w:t>Missing Values</w:t>
            </w:r>
          </w:p>
        </w:tc>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2E7D32"/>
                <w:sz w:val="18"/>
                <w:szCs w:val="18"/>
              </w:rPr>
              <w:t>0</w:t>
            </w:r>
          </w:p>
        </w:tc>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r>
              <w:rPr>
                <w:rFonts w:cs="Calibri"/>
                <w:color w:val="4A5568"/>
                <w:sz w:val="18"/>
                <w:szCs w:val="18"/>
              </w:rPr>
              <w:t>After preprocessing</w:t>
            </w:r>
          </w:p>
        </w:tc>
      </w:tr>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color w:val="4A5568"/>
                <w:sz w:val="18"/>
                <w:szCs w:val="18"/>
              </w:rPr>
              <w:t>Duplicate Timestamps</w:t>
            </w:r>
          </w:p>
        </w:tc>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2E7D32"/>
                <w:sz w:val="18"/>
                <w:szCs w:val="18"/>
              </w:rPr>
              <w:t>0</w:t>
            </w:r>
          </w:p>
        </w:tc>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 xml:space="preserve">Verified before </w:t>
            </w:r>
            <w:proofErr w:type="spellStart"/>
            <w:r>
              <w:rPr>
                <w:rFonts w:cs="Calibri"/>
                <w:color w:val="4A5568"/>
                <w:sz w:val="18"/>
                <w:szCs w:val="18"/>
              </w:rPr>
              <w:t>modeling</w:t>
            </w:r>
            <w:proofErr w:type="spellEnd"/>
          </w:p>
        </w:tc>
      </w:tr>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color w:val="4A5568"/>
                <w:sz w:val="18"/>
                <w:szCs w:val="18"/>
              </w:rPr>
              <w:t>COVID Lockdown Rows</w:t>
            </w:r>
          </w:p>
        </w:tc>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C62828"/>
                <w:sz w:val="18"/>
                <w:szCs w:val="18"/>
              </w:rPr>
              <w:t>6,528</w:t>
            </w:r>
          </w:p>
        </w:tc>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r>
              <w:rPr>
                <w:rFonts w:cs="Calibri"/>
                <w:color w:val="4A5568"/>
                <w:sz w:val="18"/>
                <w:szCs w:val="18"/>
              </w:rPr>
              <w:t>Mar 25 – May 31, 2020</w:t>
            </w:r>
          </w:p>
        </w:tc>
      </w:tr>
    </w:tbl>
    <w:p w:rsidR="009B2551" w:rsidRDefault="00000000">
      <w:pPr>
        <w:pStyle w:val="Heading2"/>
      </w:pPr>
      <w:r>
        <w:t>3.3 Structural Breaks</w:t>
      </w:r>
    </w:p>
    <w:p w:rsidR="009B2551" w:rsidRDefault="00000000">
      <w:pPr>
        <w:spacing w:before="60" w:after="60"/>
        <w:jc w:val="both"/>
      </w:pPr>
      <w:r>
        <w:rPr>
          <w:rFonts w:cs="Calibri"/>
          <w:color w:val="4A5568"/>
        </w:rPr>
        <w:t>The dataset contains two major structural demand disruptions that violate stationarity assumptions:</w:t>
      </w:r>
    </w:p>
    <w:p w:rsidR="009B2551" w:rsidRDefault="00000000">
      <w:pPr>
        <w:pStyle w:val="ListParagraph"/>
        <w:numPr>
          <w:ilvl w:val="0"/>
          <w:numId w:val="2"/>
        </w:numPr>
        <w:spacing w:before="40" w:after="40"/>
      </w:pPr>
      <w:r>
        <w:rPr>
          <w:b/>
          <w:bCs/>
          <w:color w:val="0A1628"/>
        </w:rPr>
        <w:t xml:space="preserve">COVID-19 Lockdown: </w:t>
      </w:r>
      <w:r>
        <w:rPr>
          <w:color w:val="4A5568"/>
        </w:rPr>
        <w:t>COVID-19 Lockdown (March 25 to May 31, 2020): Caused approximately 25% suppression in load versus historical April averages. Industrial and commercial activity ceased abruptly.</w:t>
      </w:r>
    </w:p>
    <w:p w:rsidR="009B2551" w:rsidRDefault="00000000">
      <w:pPr>
        <w:pStyle w:val="ListParagraph"/>
        <w:numPr>
          <w:ilvl w:val="0"/>
          <w:numId w:val="2"/>
        </w:numPr>
        <w:spacing w:before="40" w:after="40"/>
      </w:pPr>
      <w:r>
        <w:rPr>
          <w:b/>
          <w:bCs/>
          <w:color w:val="0A1628"/>
        </w:rPr>
        <w:t xml:space="preserve">COVID Unlock Phases: </w:t>
      </w:r>
      <w:r>
        <w:rPr>
          <w:color w:val="4A5568"/>
        </w:rPr>
        <w:t>Unlock Phases (June 2020 to April 2021): Six distinct unlock phases (Unlock 1.0 through 6.0 / Mission Begin Again) each represented a partial restoration of demand. One-hot encoding of all phases allows the model to learn distinct load regimes.</w:t>
      </w:r>
    </w:p>
    <w:p w:rsidR="009B2551" w:rsidRDefault="00000000">
      <w:pPr>
        <w:pStyle w:val="ListParagraph"/>
        <w:numPr>
          <w:ilvl w:val="0"/>
          <w:numId w:val="2"/>
        </w:numPr>
        <w:spacing w:before="40" w:after="40"/>
      </w:pPr>
      <w:r>
        <w:rPr>
          <w:b/>
          <w:bCs/>
          <w:color w:val="0A1628"/>
        </w:rPr>
        <w:t xml:space="preserve">Demonetisation: </w:t>
      </w:r>
      <w:r>
        <w:rPr>
          <w:color w:val="4A5568"/>
        </w:rPr>
        <w:t>Demonetisation (November-December 2016): Minor demand suppression due to cash constraints reducing economic activity. Captured via event data.</w:t>
      </w:r>
    </w:p>
    <w:p w:rsidR="009B2551" w:rsidRDefault="00000000">
      <w:r>
        <w:br w:type="page"/>
      </w:r>
    </w:p>
    <w:p w:rsidR="009B2551" w:rsidRDefault="00000000">
      <w:pPr>
        <w:pStyle w:val="Heading1"/>
        <w:pBdr>
          <w:bottom w:val="single" w:sz="6" w:space="4" w:color="1B4F8A"/>
        </w:pBdr>
      </w:pPr>
      <w:r>
        <w:lastRenderedPageBreak/>
        <w:t>4. Exploratory Data Analysis</w:t>
      </w:r>
    </w:p>
    <w:p w:rsidR="009B2551" w:rsidRDefault="00000000">
      <w:pPr>
        <w:pStyle w:val="Heading2"/>
      </w:pPr>
      <w:r>
        <w:t>4.1 Load Overview Dashboard</w:t>
      </w:r>
    </w:p>
    <w:p w:rsidR="009B2551" w:rsidRDefault="009B2551">
      <w:pPr>
        <w:spacing w:after="80"/>
      </w:pPr>
    </w:p>
    <w:p w:rsidR="009B2551" w:rsidRDefault="00000000">
      <w:pPr>
        <w:jc w:val="center"/>
      </w:pPr>
      <w:r>
        <w:rPr>
          <w:noProof/>
        </w:rPr>
        <w:drawing>
          <wp:inline distT="0" distB="0" distL="0" distR="0">
            <wp:extent cx="6903963" cy="4162472"/>
            <wp:effectExtent l="0" t="0" r="508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941661" cy="4185201"/>
                    </a:xfrm>
                    <a:prstGeom prst="rect">
                      <a:avLst/>
                    </a:prstGeom>
                  </pic:spPr>
                </pic:pic>
              </a:graphicData>
            </a:graphic>
          </wp:inline>
        </w:drawing>
      </w:r>
    </w:p>
    <w:p w:rsidR="009B2551" w:rsidRDefault="009B2551">
      <w:pPr>
        <w:spacing w:after="80"/>
      </w:pPr>
    </w:p>
    <w:p w:rsidR="009B2551" w:rsidRDefault="00000000">
      <w:pPr>
        <w:spacing w:before="60" w:after="60"/>
        <w:jc w:val="both"/>
      </w:pPr>
      <w:r>
        <w:rPr>
          <w:rFonts w:cs="Calibri"/>
          <w:color w:val="4A5568"/>
        </w:rPr>
        <w:t>The weekly load time series shows a clear structural break during the COVID lockdown period (shaded red). Annual seasonality is visible with summer peaks driven by cooling loads. The load distribution is approximately normal (mean 1,225.6 kW) with slight left skew at extremes. Peak hours (6-10 PM) show substantially higher load (mean ~1,450 kW) versus off-peak.</w:t>
      </w:r>
    </w:p>
    <w:p w:rsidR="009B2551" w:rsidRDefault="009B2551">
      <w:pPr>
        <w:spacing w:after="160"/>
      </w:pPr>
    </w:p>
    <w:p w:rsidR="009B2551" w:rsidRDefault="00000000">
      <w:pPr>
        <w:pStyle w:val="Heading2"/>
      </w:pPr>
      <w:r>
        <w:t>4.2 Weather, Seasonality &amp; Structural Impact</w:t>
      </w:r>
    </w:p>
    <w:p w:rsidR="009B2551" w:rsidRDefault="009B2551">
      <w:pPr>
        <w:spacing w:after="80"/>
      </w:pPr>
    </w:p>
    <w:p w:rsidR="009B2551" w:rsidRDefault="00000000">
      <w:pPr>
        <w:jc w:val="center"/>
      </w:pPr>
      <w:r>
        <w:rPr>
          <w:noProof/>
        </w:rPr>
        <w:lastRenderedPageBreak/>
        <w:drawing>
          <wp:inline distT="0" distB="0" distL="0" distR="0">
            <wp:extent cx="6689481" cy="4033159"/>
            <wp:effectExtent l="0" t="0" r="3810" b="5715"/>
            <wp:docPr id="396701178" name="Picture 396701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720413" cy="4051808"/>
                    </a:xfrm>
                    <a:prstGeom prst="rect">
                      <a:avLst/>
                    </a:prstGeom>
                  </pic:spPr>
                </pic:pic>
              </a:graphicData>
            </a:graphic>
          </wp:inline>
        </w:drawing>
      </w:r>
    </w:p>
    <w:p w:rsidR="009B2551" w:rsidRDefault="009B2551">
      <w:pPr>
        <w:spacing w:after="80"/>
      </w:pPr>
    </w:p>
    <w:p w:rsidR="009B2551" w:rsidRDefault="00000000">
      <w:pPr>
        <w:spacing w:before="60" w:after="60"/>
        <w:jc w:val="both"/>
      </w:pPr>
      <w:r>
        <w:rPr>
          <w:rFonts w:cs="Calibri"/>
          <w:color w:val="4A5568"/>
        </w:rPr>
        <w:t>Temperature and Heat Index show strong positive correlation with load (r ~0.45), particularly during peak hours — validating our interaction feature (Temp x Peak). The April 2020 bar clearly shows the COVID demand collapse to ~900 kW average versus ~1,100-1,200 kW in other years. Intraday profiles by season confirm the distinctive evening peak pattern across all seasons, with summer showing the highest absolute peaks.</w:t>
      </w:r>
    </w:p>
    <w:p w:rsidR="009B2551" w:rsidRDefault="00000000">
      <w:r>
        <w:br w:type="page"/>
      </w:r>
    </w:p>
    <w:p w:rsidR="009B2551" w:rsidRDefault="00000000">
      <w:pPr>
        <w:pStyle w:val="Heading1"/>
        <w:pBdr>
          <w:bottom w:val="single" w:sz="6" w:space="4" w:color="1B4F8A"/>
        </w:pBdr>
      </w:pPr>
      <w:r>
        <w:lastRenderedPageBreak/>
        <w:t>5. Feature Engineering</w:t>
      </w:r>
    </w:p>
    <w:p w:rsidR="009B2551" w:rsidRDefault="00000000">
      <w:pPr>
        <w:pStyle w:val="Heading2"/>
      </w:pPr>
      <w:r>
        <w:t>5.1 Feature Categories</w:t>
      </w:r>
    </w:p>
    <w:p w:rsidR="009B2551" w:rsidRDefault="00000000">
      <w:pPr>
        <w:spacing w:before="60" w:after="60"/>
        <w:jc w:val="both"/>
      </w:pPr>
      <w:r>
        <w:rPr>
          <w:rFonts w:cs="Calibri"/>
          <w:color w:val="4A5568"/>
        </w:rPr>
        <w:t>A total of 40 features were engineered across six categories:</w:t>
      </w:r>
    </w:p>
    <w:p w:rsidR="009B2551" w:rsidRDefault="00000000">
      <w:pPr>
        <w:spacing w:before="200" w:after="80"/>
      </w:pPr>
      <w:r>
        <w:rPr>
          <w:rFonts w:ascii="Arial" w:eastAsia="Arial" w:hAnsi="Arial" w:cs="Arial"/>
          <w:b/>
          <w:bCs/>
          <w:color w:val="4A5568"/>
        </w:rPr>
        <w:t>5.1.1 Temporal Cyclical Features</w:t>
      </w:r>
    </w:p>
    <w:p w:rsidR="009B2551" w:rsidRDefault="00000000">
      <w:pPr>
        <w:pStyle w:val="ListParagraph"/>
        <w:numPr>
          <w:ilvl w:val="0"/>
          <w:numId w:val="2"/>
        </w:numPr>
        <w:spacing w:before="40" w:after="40"/>
      </w:pPr>
      <w:r>
        <w:rPr>
          <w:color w:val="4A5568"/>
        </w:rPr>
        <w:t>Hour-of-day encoded as sin/cos pair: sin(2π × hour/24), cos(2π × hour/24)</w:t>
      </w:r>
    </w:p>
    <w:p w:rsidR="009B2551" w:rsidRDefault="00000000">
      <w:pPr>
        <w:pStyle w:val="ListParagraph"/>
        <w:numPr>
          <w:ilvl w:val="0"/>
          <w:numId w:val="2"/>
        </w:numPr>
        <w:spacing w:before="40" w:after="40"/>
      </w:pPr>
      <w:r>
        <w:rPr>
          <w:color w:val="4A5568"/>
        </w:rPr>
        <w:t>Day-of-year encoded as sin/cos pair for annual seasonality capture</w:t>
      </w:r>
    </w:p>
    <w:p w:rsidR="009B2551" w:rsidRDefault="00000000">
      <w:pPr>
        <w:pStyle w:val="ListParagraph"/>
        <w:numPr>
          <w:ilvl w:val="0"/>
          <w:numId w:val="2"/>
        </w:numPr>
        <w:spacing w:before="40" w:after="40"/>
      </w:pPr>
      <w:r>
        <w:rPr>
          <w:color w:val="4A5568"/>
        </w:rPr>
        <w:t>Month encoded as sin/cos pair: sin(2π × month/12), cos(2π × month/12)</w:t>
      </w:r>
    </w:p>
    <w:p w:rsidR="009B2551" w:rsidRDefault="00000000">
      <w:pPr>
        <w:pStyle w:val="ListParagraph"/>
        <w:numPr>
          <w:ilvl w:val="0"/>
          <w:numId w:val="2"/>
        </w:numPr>
        <w:spacing w:before="40" w:after="40"/>
      </w:pPr>
      <w:r>
        <w:rPr>
          <w:color w:val="4A5568"/>
        </w:rPr>
        <w:t>Interval-of-day (0-95) encoded as sin/cos for intraday patterns</w:t>
      </w:r>
    </w:p>
    <w:p w:rsidR="009B2551" w:rsidRDefault="00000000">
      <w:pPr>
        <w:spacing w:before="200" w:after="80"/>
      </w:pPr>
      <w:r>
        <w:rPr>
          <w:rFonts w:ascii="Arial" w:eastAsia="Arial" w:hAnsi="Arial" w:cs="Arial"/>
          <w:b/>
          <w:bCs/>
          <w:color w:val="4A5568"/>
        </w:rPr>
        <w:t>5.1.2 Lag Features (Leakage-Safe, min 192 intervals = 48 hours)</w:t>
      </w:r>
    </w:p>
    <w:p w:rsidR="009B2551" w:rsidRDefault="00000000">
      <w:pPr>
        <w:pStyle w:val="ListParagraph"/>
        <w:numPr>
          <w:ilvl w:val="0"/>
          <w:numId w:val="2"/>
        </w:numPr>
        <w:spacing w:before="40" w:after="40"/>
      </w:pPr>
      <w:r>
        <w:rPr>
          <w:color w:val="4A5568"/>
        </w:rPr>
        <w:t>load_t_192: Load 2 days ago at same interval — direct 2-day-ahead anchor</w:t>
      </w:r>
    </w:p>
    <w:p w:rsidR="009B2551" w:rsidRDefault="00000000">
      <w:pPr>
        <w:pStyle w:val="ListParagraph"/>
        <w:numPr>
          <w:ilvl w:val="0"/>
          <w:numId w:val="2"/>
        </w:numPr>
        <w:spacing w:before="40" w:after="40"/>
      </w:pPr>
      <w:r>
        <w:rPr>
          <w:color w:val="4A5568"/>
        </w:rPr>
        <w:t>load_t_672: Load 7 days ago at same interval — weekly seasonality anchor</w:t>
      </w:r>
    </w:p>
    <w:p w:rsidR="009B2551" w:rsidRDefault="00000000">
      <w:pPr>
        <w:spacing w:before="200" w:after="80"/>
      </w:pPr>
      <w:r>
        <w:rPr>
          <w:rFonts w:ascii="Arial" w:eastAsia="Arial" w:hAnsi="Arial" w:cs="Arial"/>
          <w:b/>
          <w:bCs/>
          <w:color w:val="4A5568"/>
        </w:rPr>
        <w:t>5.1.3 Rolling Statistics (Applied to Lagged Series)</w:t>
      </w:r>
    </w:p>
    <w:p w:rsidR="009B2551" w:rsidRDefault="00000000">
      <w:pPr>
        <w:pStyle w:val="ListParagraph"/>
        <w:numPr>
          <w:ilvl w:val="0"/>
          <w:numId w:val="2"/>
        </w:numPr>
        <w:spacing w:before="40" w:after="40"/>
      </w:pPr>
      <w:r>
        <w:rPr>
          <w:color w:val="4A5568"/>
        </w:rPr>
        <w:t>rolling_mean_1h, rolling_mean_6h: Short-term trend</w:t>
      </w:r>
    </w:p>
    <w:p w:rsidR="009B2551" w:rsidRDefault="00000000">
      <w:pPr>
        <w:pStyle w:val="ListParagraph"/>
        <w:numPr>
          <w:ilvl w:val="0"/>
          <w:numId w:val="2"/>
        </w:numPr>
        <w:spacing w:before="40" w:after="40"/>
      </w:pPr>
      <w:r>
        <w:rPr>
          <w:color w:val="4A5568"/>
        </w:rPr>
        <w:t>rolling_mean_24h: Daily trend (applied to 2-day-lagged series)</w:t>
      </w:r>
    </w:p>
    <w:p w:rsidR="009B2551" w:rsidRDefault="00000000">
      <w:pPr>
        <w:pStyle w:val="ListParagraph"/>
        <w:numPr>
          <w:ilvl w:val="0"/>
          <w:numId w:val="2"/>
        </w:numPr>
        <w:spacing w:before="40" w:after="40"/>
      </w:pPr>
      <w:r>
        <w:rPr>
          <w:color w:val="4A5568"/>
        </w:rPr>
        <w:t>rolling_mean_7d: Weekly baseline (applied to 7-day-lagged series)</w:t>
      </w:r>
    </w:p>
    <w:p w:rsidR="009B2551" w:rsidRDefault="00000000">
      <w:pPr>
        <w:pStyle w:val="ListParagraph"/>
        <w:numPr>
          <w:ilvl w:val="0"/>
          <w:numId w:val="2"/>
        </w:numPr>
        <w:spacing w:before="40" w:after="40"/>
      </w:pPr>
      <w:r>
        <w:rPr>
          <w:color w:val="4A5568"/>
        </w:rPr>
        <w:t>rolling_std_6h: Short-term volatility signal</w:t>
      </w:r>
    </w:p>
    <w:p w:rsidR="009B2551" w:rsidRDefault="00000000">
      <w:pPr>
        <w:spacing w:before="200" w:after="80"/>
      </w:pPr>
      <w:r>
        <w:rPr>
          <w:rFonts w:ascii="Arial" w:eastAsia="Arial" w:hAnsi="Arial" w:cs="Arial"/>
          <w:b/>
          <w:bCs/>
          <w:color w:val="4A5568"/>
        </w:rPr>
        <w:t>5.1.4 Weather &amp; Interaction Features</w:t>
      </w:r>
    </w:p>
    <w:p w:rsidR="009B2551" w:rsidRDefault="00000000">
      <w:pPr>
        <w:pStyle w:val="ListParagraph"/>
        <w:numPr>
          <w:ilvl w:val="0"/>
          <w:numId w:val="2"/>
        </w:numPr>
        <w:spacing w:before="40" w:after="40"/>
      </w:pPr>
      <w:r>
        <w:rPr>
          <w:color w:val="4A5568"/>
        </w:rPr>
        <w:t>Raw: ACT_TEMP, ACT_HEAT_INDEX, ACT_HUMIDITY, ACT_RAIN, COOL_FACTOR</w:t>
      </w:r>
    </w:p>
    <w:p w:rsidR="009B2551" w:rsidRDefault="00000000">
      <w:pPr>
        <w:pStyle w:val="ListParagraph"/>
        <w:numPr>
          <w:ilvl w:val="0"/>
          <w:numId w:val="2"/>
        </w:numPr>
        <w:spacing w:before="40" w:after="40"/>
      </w:pPr>
      <w:r>
        <w:rPr>
          <w:color w:val="4A5568"/>
        </w:rPr>
        <w:t>Temp x Peak flag: Temperature effect amplified during peak hours</w:t>
      </w:r>
    </w:p>
    <w:p w:rsidR="009B2551" w:rsidRDefault="00000000">
      <w:pPr>
        <w:pStyle w:val="ListParagraph"/>
        <w:numPr>
          <w:ilvl w:val="0"/>
          <w:numId w:val="2"/>
        </w:numPr>
        <w:spacing w:before="40" w:after="40"/>
      </w:pPr>
      <w:r>
        <w:rPr>
          <w:color w:val="4A5568"/>
        </w:rPr>
        <w:t>Heat Index x Peak: Captures AC-driven cooling load in evening</w:t>
      </w:r>
    </w:p>
    <w:p w:rsidR="009B2551" w:rsidRDefault="00000000">
      <w:pPr>
        <w:pStyle w:val="ListParagraph"/>
        <w:numPr>
          <w:ilvl w:val="0"/>
          <w:numId w:val="2"/>
        </w:numPr>
        <w:spacing w:before="40" w:after="40"/>
      </w:pPr>
      <w:r>
        <w:rPr>
          <w:color w:val="4A5568"/>
        </w:rPr>
        <w:t>Temp x Weekend: Different weather sensitivity on weekends</w:t>
      </w:r>
    </w:p>
    <w:p w:rsidR="009B2551" w:rsidRDefault="00000000">
      <w:pPr>
        <w:spacing w:before="200" w:after="80"/>
      </w:pPr>
      <w:r>
        <w:rPr>
          <w:rFonts w:ascii="Arial" w:eastAsia="Arial" w:hAnsi="Arial" w:cs="Arial"/>
          <w:b/>
          <w:bCs/>
          <w:color w:val="4A5568"/>
        </w:rPr>
        <w:t>5.1.5 Calendar &amp; Event Features</w:t>
      </w:r>
    </w:p>
    <w:p w:rsidR="009B2551" w:rsidRDefault="00000000">
      <w:pPr>
        <w:pStyle w:val="ListParagraph"/>
        <w:numPr>
          <w:ilvl w:val="0"/>
          <w:numId w:val="2"/>
        </w:numPr>
        <w:spacing w:before="40" w:after="40"/>
      </w:pPr>
      <w:r>
        <w:rPr>
          <w:color w:val="4A5568"/>
        </w:rPr>
        <w:t xml:space="preserve">Holiday indicator, </w:t>
      </w:r>
      <w:proofErr w:type="spellStart"/>
      <w:r>
        <w:rPr>
          <w:color w:val="4A5568"/>
        </w:rPr>
        <w:t>Is_Weekend</w:t>
      </w:r>
      <w:proofErr w:type="spellEnd"/>
      <w:r>
        <w:rPr>
          <w:color w:val="4A5568"/>
        </w:rPr>
        <w:t xml:space="preserve">, </w:t>
      </w:r>
      <w:proofErr w:type="spellStart"/>
      <w:r>
        <w:rPr>
          <w:color w:val="4A5568"/>
        </w:rPr>
        <w:t>Is_Monday</w:t>
      </w:r>
      <w:proofErr w:type="spellEnd"/>
      <w:r>
        <w:rPr>
          <w:color w:val="4A5568"/>
        </w:rPr>
        <w:t>, Season (encoded)</w:t>
      </w:r>
    </w:p>
    <w:p w:rsidR="009B2551" w:rsidRDefault="00000000">
      <w:pPr>
        <w:pStyle w:val="ListParagraph"/>
        <w:numPr>
          <w:ilvl w:val="0"/>
          <w:numId w:val="2"/>
        </w:numPr>
        <w:spacing w:before="40" w:after="40"/>
      </w:pPr>
      <w:proofErr w:type="spellStart"/>
      <w:r>
        <w:rPr>
          <w:color w:val="4A5568"/>
        </w:rPr>
        <w:t>PEAK_Flag</w:t>
      </w:r>
      <w:proofErr w:type="spellEnd"/>
      <w:r>
        <w:rPr>
          <w:color w:val="4A5568"/>
        </w:rPr>
        <w:t>: Binary flag for 6-10 PM period</w:t>
      </w:r>
    </w:p>
    <w:p w:rsidR="009B2551" w:rsidRDefault="00000000">
      <w:pPr>
        <w:pStyle w:val="ListParagraph"/>
        <w:numPr>
          <w:ilvl w:val="0"/>
          <w:numId w:val="2"/>
        </w:numPr>
        <w:spacing w:before="40" w:after="40"/>
      </w:pPr>
      <w:r>
        <w:rPr>
          <w:color w:val="4A5568"/>
        </w:rPr>
        <w:t>Extremely Heavy Rainfall flag (&gt;100mm)</w:t>
      </w:r>
    </w:p>
    <w:p w:rsidR="009B2551" w:rsidRDefault="00000000">
      <w:pPr>
        <w:spacing w:before="200" w:after="80"/>
      </w:pPr>
      <w:r>
        <w:rPr>
          <w:rFonts w:ascii="Arial" w:eastAsia="Arial" w:hAnsi="Arial" w:cs="Arial"/>
          <w:b/>
          <w:bCs/>
          <w:color w:val="4A5568"/>
        </w:rPr>
        <w:t>5.1.6 COVID Structural Break Features (One-Hot)</w:t>
      </w:r>
    </w:p>
    <w:p w:rsidR="009B2551" w:rsidRDefault="00000000">
      <w:pPr>
        <w:pStyle w:val="ListParagraph"/>
        <w:numPr>
          <w:ilvl w:val="0"/>
          <w:numId w:val="2"/>
        </w:numPr>
        <w:spacing w:before="40" w:after="40"/>
      </w:pPr>
      <w:r>
        <w:rPr>
          <w:color w:val="4A5568"/>
        </w:rPr>
        <w:t>Lockdown, Partial WFH, Unlock 1.0–6.0 — each as a binary indicator</w:t>
      </w:r>
    </w:p>
    <w:p w:rsidR="009B2551" w:rsidRDefault="00000000">
      <w:pPr>
        <w:pStyle w:val="Heading2"/>
      </w:pPr>
      <w:r>
        <w:t>5.2 Leakage Controls</w:t>
      </w:r>
    </w:p>
    <w:p w:rsidR="009B2551" w:rsidRDefault="00000000">
      <w:pPr>
        <w:spacing w:before="60" w:after="60"/>
        <w:jc w:val="both"/>
      </w:pPr>
      <w:r>
        <w:rPr>
          <w:rFonts w:cs="Calibri"/>
          <w:color w:val="4A5568"/>
        </w:rPr>
        <w:t>For a genuine 2-day-ahead forecast, all historical load features must use a minimum lag of 192 intervals (48 hours). Features load_t_1 and load_t_4 (which were present in the raw dataset) were explicitly excluded from the model training to prevent data leakage. All rolling statistics were computed on appropriately lagged series. Validation was performed on a strict temporal holdout — no random shuffling.</w:t>
      </w:r>
    </w:p>
    <w:p w:rsidR="009B2551" w:rsidRDefault="00000000">
      <w:r>
        <w:br w:type="page"/>
      </w:r>
    </w:p>
    <w:p w:rsidR="009B2551" w:rsidRDefault="00000000">
      <w:pPr>
        <w:pStyle w:val="Heading1"/>
        <w:pBdr>
          <w:bottom w:val="single" w:sz="6" w:space="4" w:color="1B4F8A"/>
        </w:pBdr>
      </w:pPr>
      <w:r>
        <w:lastRenderedPageBreak/>
        <w:t>6. Forecasting Model</w:t>
      </w:r>
    </w:p>
    <w:p w:rsidR="009B2551" w:rsidRDefault="00000000">
      <w:pPr>
        <w:pStyle w:val="Heading2"/>
      </w:pPr>
      <w:r>
        <w:t xml:space="preserve">6.1 Algorithm Selection: </w:t>
      </w:r>
      <w:proofErr w:type="spellStart"/>
      <w:r>
        <w:t>HistGradientBoostingRegressor</w:t>
      </w:r>
      <w:proofErr w:type="spellEnd"/>
    </w:p>
    <w:p w:rsidR="009B2551" w:rsidRDefault="00000000">
      <w:pPr>
        <w:spacing w:before="60" w:after="60"/>
        <w:jc w:val="both"/>
      </w:pPr>
      <w:r>
        <w:rPr>
          <w:rFonts w:cs="Calibri"/>
          <w:color w:val="4A5568"/>
        </w:rPr>
        <w:t>We selected scikit-</w:t>
      </w:r>
      <w:proofErr w:type="spellStart"/>
      <w:r>
        <w:rPr>
          <w:rFonts w:cs="Calibri"/>
          <w:color w:val="4A5568"/>
        </w:rPr>
        <w:t>learn's</w:t>
      </w:r>
      <w:proofErr w:type="spellEnd"/>
      <w:r>
        <w:rPr>
          <w:rFonts w:cs="Calibri"/>
          <w:color w:val="4A5568"/>
        </w:rPr>
        <w:t xml:space="preserve"> </w:t>
      </w:r>
      <w:proofErr w:type="spellStart"/>
      <w:r>
        <w:rPr>
          <w:rFonts w:cs="Calibri"/>
          <w:color w:val="4A5568"/>
        </w:rPr>
        <w:t>HistGradientBoostingRegressor</w:t>
      </w:r>
      <w:proofErr w:type="spellEnd"/>
      <w:r>
        <w:rPr>
          <w:rFonts w:cs="Calibri"/>
          <w:color w:val="4A5568"/>
        </w:rPr>
        <w:t xml:space="preserve"> (</w:t>
      </w:r>
      <w:proofErr w:type="spellStart"/>
      <w:r>
        <w:rPr>
          <w:rFonts w:cs="Calibri"/>
          <w:color w:val="4A5568"/>
        </w:rPr>
        <w:t>HistGBR</w:t>
      </w:r>
      <w:proofErr w:type="spellEnd"/>
      <w:r>
        <w:rPr>
          <w:rFonts w:cs="Calibri"/>
          <w:color w:val="4A5568"/>
        </w:rPr>
        <w:t>) as our core algorithm for the following reasons:</w:t>
      </w:r>
    </w:p>
    <w:p w:rsidR="009B2551" w:rsidRDefault="00000000">
      <w:pPr>
        <w:pStyle w:val="ListParagraph"/>
        <w:numPr>
          <w:ilvl w:val="0"/>
          <w:numId w:val="2"/>
        </w:numPr>
        <w:spacing w:before="40" w:after="40"/>
      </w:pPr>
      <w:r>
        <w:rPr>
          <w:color w:val="4A5568"/>
        </w:rPr>
        <w:t>Native support for missing values — no imputation required</w:t>
      </w:r>
    </w:p>
    <w:p w:rsidR="009B2551" w:rsidRDefault="00000000">
      <w:pPr>
        <w:pStyle w:val="ListParagraph"/>
        <w:numPr>
          <w:ilvl w:val="0"/>
          <w:numId w:val="2"/>
        </w:numPr>
        <w:spacing w:before="40" w:after="40"/>
      </w:pPr>
      <w:r>
        <w:rPr>
          <w:color w:val="4A5568"/>
        </w:rPr>
        <w:t>Histogram-based binning makes it 10-50x faster than standard GBR on large datasets (280K+ rows)</w:t>
      </w:r>
    </w:p>
    <w:p w:rsidR="009B2551" w:rsidRDefault="00000000">
      <w:pPr>
        <w:pStyle w:val="ListParagraph"/>
        <w:numPr>
          <w:ilvl w:val="0"/>
          <w:numId w:val="2"/>
        </w:numPr>
        <w:spacing w:before="40" w:after="40"/>
      </w:pPr>
      <w:r>
        <w:rPr>
          <w:color w:val="4A5568"/>
        </w:rPr>
        <w:t>Supports quantile loss natively — enables direct asymmetric cost optimization</w:t>
      </w:r>
    </w:p>
    <w:p w:rsidR="009B2551" w:rsidRDefault="00000000">
      <w:pPr>
        <w:pStyle w:val="ListParagraph"/>
        <w:numPr>
          <w:ilvl w:val="0"/>
          <w:numId w:val="2"/>
        </w:numPr>
        <w:spacing w:before="40" w:after="40"/>
      </w:pPr>
      <w:r>
        <w:rPr>
          <w:color w:val="4A5568"/>
        </w:rPr>
        <w:t>Robust to outliers and non-linear interactions between weather and time features</w:t>
      </w:r>
    </w:p>
    <w:p w:rsidR="009B2551" w:rsidRDefault="00000000">
      <w:pPr>
        <w:pStyle w:val="ListParagraph"/>
        <w:numPr>
          <w:ilvl w:val="0"/>
          <w:numId w:val="2"/>
        </w:numPr>
        <w:spacing w:before="40" w:after="40"/>
      </w:pPr>
      <w:r>
        <w:rPr>
          <w:color w:val="4A5568"/>
        </w:rPr>
        <w:t>Early stopping prevents overfitting while minimizing hyperparameter search</w:t>
      </w:r>
    </w:p>
    <w:p w:rsidR="009B2551" w:rsidRDefault="00000000">
      <w:pPr>
        <w:pStyle w:val="Heading2"/>
      </w:pPr>
      <w:r>
        <w:t>6.2 Model Variants</w:t>
      </w:r>
    </w:p>
    <w:p w:rsidR="009B2551" w:rsidRDefault="009B25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280"/>
        <w:gridCol w:w="2240"/>
        <w:gridCol w:w="2240"/>
      </w:tblGrid>
      <w:tr w:rsidR="009B2551">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Model</w:t>
            </w:r>
          </w:p>
        </w:tc>
        <w:tc>
          <w:tcPr>
            <w:tcW w:w="228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Loss Function</w:t>
            </w:r>
          </w:p>
        </w:tc>
        <w:tc>
          <w:tcPr>
            <w:tcW w:w="224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Purpose</w:t>
            </w:r>
          </w:p>
        </w:tc>
        <w:tc>
          <w:tcPr>
            <w:tcW w:w="224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Key Parameter</w:t>
            </w:r>
          </w:p>
        </w:tc>
      </w:tr>
      <w:tr w:rsidR="009B2551">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b/>
                <w:bCs/>
                <w:color w:val="1B4F8A"/>
                <w:sz w:val="18"/>
                <w:szCs w:val="18"/>
              </w:rPr>
              <w:t>Mean Model</w:t>
            </w:r>
          </w:p>
        </w:tc>
        <w:tc>
          <w:tcPr>
            <w:tcW w:w="228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color w:val="4A5568"/>
                <w:sz w:val="18"/>
                <w:szCs w:val="18"/>
              </w:rPr>
              <w:t>Squared Error</w:t>
            </w:r>
          </w:p>
        </w:tc>
        <w:tc>
          <w:tcPr>
            <w:tcW w:w="224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Minimize RMSE</w:t>
            </w:r>
          </w:p>
        </w:tc>
        <w:tc>
          <w:tcPr>
            <w:tcW w:w="224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Off-peak hours</w:t>
            </w:r>
          </w:p>
        </w:tc>
      </w:tr>
      <w:tr w:rsidR="009B2551">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r>
              <w:rPr>
                <w:rFonts w:cs="Calibri"/>
                <w:b/>
                <w:bCs/>
                <w:color w:val="2E7D32"/>
                <w:sz w:val="18"/>
                <w:szCs w:val="18"/>
              </w:rPr>
              <w:t>Q67 Model</w:t>
            </w:r>
          </w:p>
        </w:tc>
        <w:tc>
          <w:tcPr>
            <w:tcW w:w="22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2E7D32"/>
                <w:sz w:val="18"/>
                <w:szCs w:val="18"/>
              </w:rPr>
              <w:t>Quantile (q=0.67)</w:t>
            </w:r>
          </w:p>
        </w:tc>
        <w:tc>
          <w:tcPr>
            <w:tcW w:w="22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r>
              <w:rPr>
                <w:rFonts w:cs="Calibri"/>
                <w:color w:val="4A5568"/>
                <w:sz w:val="18"/>
                <w:szCs w:val="18"/>
              </w:rPr>
              <w:t>Cost-optimal bias</w:t>
            </w:r>
          </w:p>
        </w:tc>
        <w:tc>
          <w:tcPr>
            <w:tcW w:w="224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r>
              <w:rPr>
                <w:rFonts w:cs="Calibri"/>
                <w:color w:val="4A5568"/>
                <w:sz w:val="18"/>
                <w:szCs w:val="18"/>
              </w:rPr>
              <w:t>Peak hours + events</w:t>
            </w:r>
          </w:p>
        </w:tc>
      </w:tr>
      <w:tr w:rsidR="009B2551">
        <w:tblPrEx>
          <w:tblCellMar>
            <w:top w:w="0" w:type="dxa"/>
            <w:bottom w:w="0" w:type="dxa"/>
          </w:tblCellMar>
        </w:tblPrEx>
        <w:tc>
          <w:tcPr>
            <w:tcW w:w="26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b/>
                <w:bCs/>
                <w:color w:val="C62828"/>
                <w:sz w:val="18"/>
                <w:szCs w:val="18"/>
              </w:rPr>
              <w:t>Hybrid Strategy</w:t>
            </w:r>
          </w:p>
        </w:tc>
        <w:tc>
          <w:tcPr>
            <w:tcW w:w="228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C62828"/>
                <w:sz w:val="18"/>
                <w:szCs w:val="18"/>
              </w:rPr>
              <w:t>Contextual</w:t>
            </w:r>
          </w:p>
        </w:tc>
        <w:tc>
          <w:tcPr>
            <w:tcW w:w="224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Min expected penalty</w:t>
            </w:r>
          </w:p>
        </w:tc>
        <w:tc>
          <w:tcPr>
            <w:tcW w:w="224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All periods</w:t>
            </w:r>
          </w:p>
        </w:tc>
      </w:tr>
    </w:tbl>
    <w:p w:rsidR="009B2551" w:rsidRDefault="00000000">
      <w:pPr>
        <w:pStyle w:val="Heading2"/>
      </w:pPr>
      <w:r>
        <w:t>6.3 Hyperparameters</w:t>
      </w:r>
    </w:p>
    <w:p w:rsidR="009B2551" w:rsidRDefault="009B25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B2551">
        <w:tblPrEx>
          <w:tblCellMar>
            <w:top w:w="0" w:type="dxa"/>
            <w:bottom w:w="0" w:type="dxa"/>
          </w:tblCellMar>
        </w:tblPrEx>
        <w:tc>
          <w:tcPr>
            <w:tcW w:w="468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Hyperparameter</w:t>
            </w:r>
          </w:p>
        </w:tc>
        <w:tc>
          <w:tcPr>
            <w:tcW w:w="468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Value</w:t>
            </w:r>
          </w:p>
        </w:tc>
      </w:tr>
      <w:tr w:rsidR="009B2551">
        <w:tblPrEx>
          <w:tblCellMar>
            <w:top w:w="0" w:type="dxa"/>
            <w:bottom w:w="0" w:type="dxa"/>
          </w:tblCellMar>
        </w:tblPrEx>
        <w:tc>
          <w:tcPr>
            <w:tcW w:w="468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roofErr w:type="spellStart"/>
            <w:r>
              <w:rPr>
                <w:rFonts w:cs="Calibri"/>
                <w:color w:val="4A5568"/>
                <w:sz w:val="18"/>
                <w:szCs w:val="18"/>
              </w:rPr>
              <w:t>max_iter</w:t>
            </w:r>
            <w:proofErr w:type="spellEnd"/>
          </w:p>
        </w:tc>
        <w:tc>
          <w:tcPr>
            <w:tcW w:w="468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1B4F8A"/>
                <w:sz w:val="18"/>
                <w:szCs w:val="18"/>
              </w:rPr>
              <w:t>600 (with early stopping)</w:t>
            </w:r>
          </w:p>
        </w:tc>
      </w:tr>
      <w:tr w:rsidR="009B2551">
        <w:tblPrEx>
          <w:tblCellMar>
            <w:top w:w="0" w:type="dxa"/>
            <w:bottom w:w="0" w:type="dxa"/>
          </w:tblCellMar>
        </w:tblPrEx>
        <w:tc>
          <w:tcPr>
            <w:tcW w:w="46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roofErr w:type="spellStart"/>
            <w:r>
              <w:rPr>
                <w:rFonts w:cs="Calibri"/>
                <w:color w:val="4A5568"/>
                <w:sz w:val="18"/>
                <w:szCs w:val="18"/>
              </w:rPr>
              <w:t>learning_rate</w:t>
            </w:r>
            <w:proofErr w:type="spellEnd"/>
          </w:p>
        </w:tc>
        <w:tc>
          <w:tcPr>
            <w:tcW w:w="46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1B4F8A"/>
                <w:sz w:val="18"/>
                <w:szCs w:val="18"/>
              </w:rPr>
              <w:t>0.05</w:t>
            </w:r>
          </w:p>
        </w:tc>
      </w:tr>
      <w:tr w:rsidR="009B2551">
        <w:tblPrEx>
          <w:tblCellMar>
            <w:top w:w="0" w:type="dxa"/>
            <w:bottom w:w="0" w:type="dxa"/>
          </w:tblCellMar>
        </w:tblPrEx>
        <w:tc>
          <w:tcPr>
            <w:tcW w:w="468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roofErr w:type="spellStart"/>
            <w:r>
              <w:rPr>
                <w:rFonts w:cs="Calibri"/>
                <w:color w:val="4A5568"/>
                <w:sz w:val="18"/>
                <w:szCs w:val="18"/>
              </w:rPr>
              <w:t>max_depth</w:t>
            </w:r>
            <w:proofErr w:type="spellEnd"/>
          </w:p>
        </w:tc>
        <w:tc>
          <w:tcPr>
            <w:tcW w:w="468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1B4F8A"/>
                <w:sz w:val="18"/>
                <w:szCs w:val="18"/>
              </w:rPr>
              <w:t>8</w:t>
            </w:r>
          </w:p>
        </w:tc>
      </w:tr>
      <w:tr w:rsidR="009B2551">
        <w:tblPrEx>
          <w:tblCellMar>
            <w:top w:w="0" w:type="dxa"/>
            <w:bottom w:w="0" w:type="dxa"/>
          </w:tblCellMar>
        </w:tblPrEx>
        <w:tc>
          <w:tcPr>
            <w:tcW w:w="46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roofErr w:type="spellStart"/>
            <w:r>
              <w:rPr>
                <w:rFonts w:cs="Calibri"/>
                <w:color w:val="4A5568"/>
                <w:sz w:val="18"/>
                <w:szCs w:val="18"/>
              </w:rPr>
              <w:t>min_samples_leaf</w:t>
            </w:r>
            <w:proofErr w:type="spellEnd"/>
          </w:p>
        </w:tc>
        <w:tc>
          <w:tcPr>
            <w:tcW w:w="46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1B4F8A"/>
                <w:sz w:val="18"/>
                <w:szCs w:val="18"/>
              </w:rPr>
              <w:t>20</w:t>
            </w:r>
          </w:p>
        </w:tc>
      </w:tr>
      <w:tr w:rsidR="009B2551">
        <w:tblPrEx>
          <w:tblCellMar>
            <w:top w:w="0" w:type="dxa"/>
            <w:bottom w:w="0" w:type="dxa"/>
          </w:tblCellMar>
        </w:tblPrEx>
        <w:tc>
          <w:tcPr>
            <w:tcW w:w="468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l2_regularization</w:t>
            </w:r>
          </w:p>
        </w:tc>
        <w:tc>
          <w:tcPr>
            <w:tcW w:w="468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1B4F8A"/>
                <w:sz w:val="18"/>
                <w:szCs w:val="18"/>
              </w:rPr>
              <w:t>0.1</w:t>
            </w:r>
          </w:p>
        </w:tc>
      </w:tr>
      <w:tr w:rsidR="009B2551">
        <w:tblPrEx>
          <w:tblCellMar>
            <w:top w:w="0" w:type="dxa"/>
            <w:bottom w:w="0" w:type="dxa"/>
          </w:tblCellMar>
        </w:tblPrEx>
        <w:tc>
          <w:tcPr>
            <w:tcW w:w="46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roofErr w:type="spellStart"/>
            <w:r>
              <w:rPr>
                <w:rFonts w:cs="Calibri"/>
                <w:color w:val="4A5568"/>
                <w:sz w:val="18"/>
                <w:szCs w:val="18"/>
              </w:rPr>
              <w:t>validation_fraction</w:t>
            </w:r>
            <w:proofErr w:type="spellEnd"/>
          </w:p>
        </w:tc>
        <w:tc>
          <w:tcPr>
            <w:tcW w:w="46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1B4F8A"/>
                <w:sz w:val="18"/>
                <w:szCs w:val="18"/>
              </w:rPr>
              <w:t>0.1 (early stopping)</w:t>
            </w:r>
          </w:p>
        </w:tc>
      </w:tr>
      <w:tr w:rsidR="009B2551">
        <w:tblPrEx>
          <w:tblCellMar>
            <w:top w:w="0" w:type="dxa"/>
            <w:bottom w:w="0" w:type="dxa"/>
          </w:tblCellMar>
        </w:tblPrEx>
        <w:tc>
          <w:tcPr>
            <w:tcW w:w="468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roofErr w:type="spellStart"/>
            <w:r>
              <w:rPr>
                <w:rFonts w:cs="Calibri"/>
                <w:color w:val="4A5568"/>
                <w:sz w:val="18"/>
                <w:szCs w:val="18"/>
              </w:rPr>
              <w:t>n_iter_no_change</w:t>
            </w:r>
            <w:proofErr w:type="spellEnd"/>
          </w:p>
        </w:tc>
        <w:tc>
          <w:tcPr>
            <w:tcW w:w="468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1B4F8A"/>
                <w:sz w:val="18"/>
                <w:szCs w:val="18"/>
              </w:rPr>
              <w:t>25</w:t>
            </w:r>
          </w:p>
        </w:tc>
      </w:tr>
    </w:tbl>
    <w:p w:rsidR="009B2551" w:rsidRDefault="00000000">
      <w:pPr>
        <w:pStyle w:val="Heading2"/>
      </w:pPr>
      <w:r>
        <w:t>6.4 Validation Strategy</w:t>
      </w:r>
    </w:p>
    <w:p w:rsidR="009B2551" w:rsidRDefault="00000000">
      <w:pPr>
        <w:spacing w:before="60" w:after="60"/>
        <w:jc w:val="both"/>
      </w:pPr>
      <w:r>
        <w:rPr>
          <w:rFonts w:cs="Calibri"/>
          <w:color w:val="4A5568"/>
        </w:rPr>
        <w:t>A strict temporal train-validation split was employed:</w:t>
      </w:r>
    </w:p>
    <w:p w:rsidR="009B2551" w:rsidRDefault="00000000">
      <w:pPr>
        <w:pStyle w:val="ListParagraph"/>
        <w:numPr>
          <w:ilvl w:val="0"/>
          <w:numId w:val="2"/>
        </w:numPr>
        <w:spacing w:before="40" w:after="40"/>
      </w:pPr>
      <w:r>
        <w:rPr>
          <w:color w:val="4A5568"/>
        </w:rPr>
        <w:t>Training set: April 1, 2013 to September 18, 2019 (226,712 rows — 80%)</w:t>
      </w:r>
    </w:p>
    <w:p w:rsidR="009B2551" w:rsidRDefault="00000000">
      <w:pPr>
        <w:pStyle w:val="ListParagraph"/>
        <w:numPr>
          <w:ilvl w:val="0"/>
          <w:numId w:val="2"/>
        </w:numPr>
        <w:spacing w:before="40" w:after="40"/>
      </w:pPr>
      <w:r>
        <w:rPr>
          <w:color w:val="4A5568"/>
        </w:rPr>
        <w:t>Validation set: September 18, 2019 to April 30, 2021 (56,679 rows — 20%)</w:t>
      </w:r>
    </w:p>
    <w:p w:rsidR="009B2551" w:rsidRDefault="00000000">
      <w:pPr>
        <w:pStyle w:val="ListParagraph"/>
        <w:numPr>
          <w:ilvl w:val="0"/>
          <w:numId w:val="2"/>
        </w:numPr>
        <w:spacing w:before="40" w:after="40"/>
      </w:pPr>
      <w:r>
        <w:rPr>
          <w:color w:val="4A5568"/>
        </w:rPr>
        <w:t>No random shuffling — temporal order preserved throughout</w:t>
      </w:r>
    </w:p>
    <w:p w:rsidR="009B2551" w:rsidRDefault="00000000">
      <w:pPr>
        <w:pStyle w:val="ListParagraph"/>
        <w:numPr>
          <w:ilvl w:val="0"/>
          <w:numId w:val="2"/>
        </w:numPr>
        <w:spacing w:before="40" w:after="40"/>
      </w:pPr>
      <w:r>
        <w:rPr>
          <w:color w:val="4A5568"/>
        </w:rPr>
        <w:t>Validation set deliberately includes the COVID period for stress-testing</w:t>
      </w:r>
    </w:p>
    <w:p w:rsidR="009B2551" w:rsidRDefault="00000000">
      <w:r>
        <w:br w:type="page"/>
      </w:r>
    </w:p>
    <w:p w:rsidR="009B2551" w:rsidRDefault="00000000">
      <w:pPr>
        <w:pStyle w:val="Heading1"/>
        <w:pBdr>
          <w:bottom w:val="single" w:sz="6" w:space="4" w:color="1B4F8A"/>
        </w:pBdr>
      </w:pPr>
      <w:r>
        <w:lastRenderedPageBreak/>
        <w:t xml:space="preserve">7. Model Performance &amp; </w:t>
      </w:r>
      <w:proofErr w:type="spellStart"/>
      <w:r>
        <w:t>Backtest</w:t>
      </w:r>
      <w:proofErr w:type="spellEnd"/>
      <w:r>
        <w:t xml:space="preserve"> Results</w:t>
      </w:r>
    </w:p>
    <w:p w:rsidR="009B2551" w:rsidRDefault="00000000">
      <w:pPr>
        <w:pStyle w:val="Heading2"/>
      </w:pPr>
      <w:r>
        <w:t>7.1 Accuracy Metrics</w:t>
      </w:r>
    </w:p>
    <w:p w:rsidR="009B2551" w:rsidRDefault="009B25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Metric</w:t>
            </w:r>
          </w:p>
        </w:tc>
        <w:tc>
          <w:tcPr>
            <w:tcW w:w="312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Mean Model</w:t>
            </w:r>
          </w:p>
        </w:tc>
        <w:tc>
          <w:tcPr>
            <w:tcW w:w="312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Naive Baseline</w:t>
            </w:r>
          </w:p>
        </w:tc>
      </w:tr>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RMSE (kW)</w:t>
            </w:r>
          </w:p>
        </w:tc>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2E7D32"/>
                <w:sz w:val="18"/>
                <w:szCs w:val="18"/>
              </w:rPr>
              <w:t>6.43 kW</w:t>
            </w:r>
          </w:p>
        </w:tc>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C62828"/>
                <w:sz w:val="18"/>
                <w:szCs w:val="18"/>
              </w:rPr>
              <w:t>113.69 kW</w:t>
            </w:r>
          </w:p>
        </w:tc>
      </w:tr>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r>
              <w:rPr>
                <w:rFonts w:cs="Calibri"/>
                <w:color w:val="4A5568"/>
                <w:sz w:val="18"/>
                <w:szCs w:val="18"/>
              </w:rPr>
              <w:t>MAE (kW)</w:t>
            </w:r>
          </w:p>
        </w:tc>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2E7D32"/>
                <w:sz w:val="18"/>
                <w:szCs w:val="18"/>
              </w:rPr>
              <w:t>2.72 kW</w:t>
            </w:r>
          </w:p>
        </w:tc>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C62828"/>
                <w:sz w:val="18"/>
                <w:szCs w:val="18"/>
              </w:rPr>
              <w:t>~85 kW</w:t>
            </w:r>
          </w:p>
        </w:tc>
      </w:tr>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MAPE (%)</w:t>
            </w:r>
          </w:p>
        </w:tc>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2E7D32"/>
                <w:sz w:val="18"/>
                <w:szCs w:val="18"/>
              </w:rPr>
              <w:t>0.27%</w:t>
            </w:r>
          </w:p>
        </w:tc>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C62828"/>
                <w:sz w:val="18"/>
                <w:szCs w:val="18"/>
              </w:rPr>
              <w:t>~7.0%</w:t>
            </w:r>
          </w:p>
        </w:tc>
      </w:tr>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r>
              <w:rPr>
                <w:rFonts w:cs="Calibri"/>
                <w:color w:val="4A5568"/>
                <w:sz w:val="18"/>
                <w:szCs w:val="18"/>
              </w:rPr>
              <w:t>Forecast Bias (kW)</w:t>
            </w:r>
          </w:p>
        </w:tc>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2E7D32"/>
                <w:sz w:val="18"/>
                <w:szCs w:val="18"/>
              </w:rPr>
              <w:t>-0.00 kW (0.000%)</w:t>
            </w:r>
          </w:p>
        </w:tc>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1B4F8A"/>
                <w:sz w:val="18"/>
                <w:szCs w:val="18"/>
              </w:rPr>
              <w:t>-0.14 kW (-0.012%)</w:t>
            </w:r>
          </w:p>
        </w:tc>
      </w:tr>
      <w:tr w:rsidR="009B2551">
        <w:tblPrEx>
          <w:tblCellMar>
            <w:top w:w="0" w:type="dxa"/>
            <w:bottom w:w="0" w:type="dxa"/>
          </w:tblCellMar>
        </w:tblPrEx>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95th Pct Abs Dev (kW)</w:t>
            </w:r>
          </w:p>
        </w:tc>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2E7D32"/>
                <w:sz w:val="18"/>
                <w:szCs w:val="18"/>
              </w:rPr>
              <w:t>7.1 kW</w:t>
            </w:r>
          </w:p>
        </w:tc>
        <w:tc>
          <w:tcPr>
            <w:tcW w:w="312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C62828"/>
                <w:sz w:val="18"/>
                <w:szCs w:val="18"/>
              </w:rPr>
              <w:t>271.0 kW</w:t>
            </w:r>
          </w:p>
        </w:tc>
      </w:tr>
    </w:tbl>
    <w:p w:rsidR="009B2551" w:rsidRDefault="00000000">
      <w:pPr>
        <w:pStyle w:val="Heading2"/>
      </w:pPr>
      <w:r>
        <w:t xml:space="preserve">7.2 Deviation Penalty </w:t>
      </w:r>
      <w:proofErr w:type="spellStart"/>
      <w:r>
        <w:t>Backtest</w:t>
      </w:r>
      <w:proofErr w:type="spellEnd"/>
    </w:p>
    <w:p w:rsidR="009B2551" w:rsidRDefault="009B2551">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000"/>
        <w:gridCol w:w="2360"/>
      </w:tblGrid>
      <w:tr w:rsidR="009B2551">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Metric</w:t>
            </w:r>
          </w:p>
        </w:tc>
        <w:tc>
          <w:tcPr>
            <w:tcW w:w="220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Naive Baseline</w:t>
            </w:r>
          </w:p>
        </w:tc>
        <w:tc>
          <w:tcPr>
            <w:tcW w:w="200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Mean Model</w:t>
            </w:r>
          </w:p>
        </w:tc>
        <w:tc>
          <w:tcPr>
            <w:tcW w:w="2360" w:type="dxa"/>
            <w:tcBorders>
              <w:top w:val="single" w:sz="1" w:space="0" w:color="C5D5E8"/>
              <w:left w:val="single" w:sz="1" w:space="0" w:color="C5D5E8"/>
              <w:bottom w:val="single" w:sz="1" w:space="0" w:color="C5D5E8"/>
              <w:right w:val="single" w:sz="1" w:space="0" w:color="C5D5E8"/>
            </w:tcBorders>
            <w:shd w:val="clear" w:color="auto" w:fill="1B4F8A"/>
            <w:tcMar>
              <w:top w:w="80" w:type="dxa"/>
              <w:left w:w="120" w:type="dxa"/>
              <w:bottom w:w="80" w:type="dxa"/>
              <w:right w:w="120" w:type="dxa"/>
            </w:tcMar>
            <w:vAlign w:val="center"/>
          </w:tcPr>
          <w:p w:rsidR="009B2551" w:rsidRDefault="00000000">
            <w:pPr>
              <w:jc w:val="center"/>
            </w:pPr>
            <w:r>
              <w:rPr>
                <w:rFonts w:ascii="Arial" w:eastAsia="Arial" w:hAnsi="Arial" w:cs="Arial"/>
                <w:b/>
                <w:bCs/>
                <w:color w:val="FFFFFF"/>
                <w:sz w:val="18"/>
                <w:szCs w:val="18"/>
              </w:rPr>
              <w:t>Q67 Model</w:t>
            </w:r>
          </w:p>
        </w:tc>
      </w:tr>
      <w:tr w:rsidR="009B2551">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Total Penalty (Rs.)</w:t>
            </w:r>
          </w:p>
        </w:tc>
        <w:tc>
          <w:tcPr>
            <w:tcW w:w="2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C62828"/>
                <w:sz w:val="18"/>
                <w:szCs w:val="18"/>
              </w:rPr>
              <w:t>Rs. 32,48,135</w:t>
            </w:r>
          </w:p>
        </w:tc>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2E7D32"/>
                <w:sz w:val="18"/>
                <w:szCs w:val="18"/>
              </w:rPr>
              <w:t>Rs. 1,15,720</w:t>
            </w:r>
          </w:p>
        </w:tc>
        <w:tc>
          <w:tcPr>
            <w:tcW w:w="23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1B4F8A"/>
                <w:sz w:val="18"/>
                <w:szCs w:val="18"/>
              </w:rPr>
              <w:t>Rs. 1,32,096</w:t>
            </w:r>
          </w:p>
        </w:tc>
      </w:tr>
      <w:tr w:rsidR="009B2551">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r>
              <w:rPr>
                <w:rFonts w:cs="Calibri"/>
                <w:color w:val="4A5568"/>
                <w:sz w:val="18"/>
                <w:szCs w:val="18"/>
              </w:rPr>
              <w:t>Peak-Hour Penalty (Rs.)</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C62828"/>
                <w:sz w:val="18"/>
                <w:szCs w:val="18"/>
              </w:rPr>
              <w:t>Rs. 6,13,125</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2E7D32"/>
                <w:sz w:val="18"/>
                <w:szCs w:val="18"/>
              </w:rPr>
              <w:t>Rs. 25,298</w:t>
            </w:r>
          </w:p>
        </w:tc>
        <w:tc>
          <w:tcPr>
            <w:tcW w:w="2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1B4F8A"/>
                <w:sz w:val="18"/>
                <w:szCs w:val="18"/>
              </w:rPr>
              <w:t>Rs. 25,078</w:t>
            </w:r>
          </w:p>
        </w:tc>
      </w:tr>
      <w:tr w:rsidR="009B2551">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Off-Peak Penalty (Rs.)</w:t>
            </w:r>
          </w:p>
        </w:tc>
        <w:tc>
          <w:tcPr>
            <w:tcW w:w="2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C62828"/>
                <w:sz w:val="18"/>
                <w:szCs w:val="18"/>
              </w:rPr>
              <w:t>Rs. 26,35,010</w:t>
            </w:r>
          </w:p>
        </w:tc>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2E7D32"/>
                <w:sz w:val="18"/>
                <w:szCs w:val="18"/>
              </w:rPr>
              <w:t>Rs. 90,422</w:t>
            </w:r>
          </w:p>
        </w:tc>
        <w:tc>
          <w:tcPr>
            <w:tcW w:w="23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1B4F8A"/>
                <w:sz w:val="18"/>
                <w:szCs w:val="18"/>
              </w:rPr>
              <w:t>Rs. 1,07,018</w:t>
            </w:r>
          </w:p>
        </w:tc>
      </w:tr>
      <w:tr w:rsidR="009B2551">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r>
              <w:rPr>
                <w:rFonts w:cs="Calibri"/>
                <w:color w:val="4A5568"/>
                <w:sz w:val="18"/>
                <w:szCs w:val="18"/>
              </w:rPr>
              <w:t>Penalty Reduction vs Naive</w:t>
            </w:r>
          </w:p>
        </w:tc>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color w:val="4A5568"/>
                <w:sz w:val="18"/>
                <w:szCs w:val="18"/>
              </w:rPr>
              <w:t>—</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2E7D32"/>
                <w:sz w:val="18"/>
                <w:szCs w:val="18"/>
              </w:rPr>
              <w:t>96.4%</w:t>
            </w:r>
          </w:p>
        </w:tc>
        <w:tc>
          <w:tcPr>
            <w:tcW w:w="23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tcPr>
          <w:p w:rsidR="009B2551" w:rsidRDefault="00000000">
            <w:pPr>
              <w:jc w:val="center"/>
            </w:pPr>
            <w:r>
              <w:rPr>
                <w:rFonts w:cs="Calibri"/>
                <w:b/>
                <w:bCs/>
                <w:color w:val="1B4F8A"/>
                <w:sz w:val="18"/>
                <w:szCs w:val="18"/>
              </w:rPr>
              <w:t>95.9%</w:t>
            </w:r>
          </w:p>
        </w:tc>
      </w:tr>
      <w:tr w:rsidR="009B2551">
        <w:tblPrEx>
          <w:tblCellMar>
            <w:top w:w="0" w:type="dxa"/>
            <w:bottom w:w="0" w:type="dxa"/>
          </w:tblCellMar>
        </w:tblPrEx>
        <w:tc>
          <w:tcPr>
            <w:tcW w:w="28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r>
              <w:rPr>
                <w:rFonts w:cs="Calibri"/>
                <w:color w:val="4A5568"/>
                <w:sz w:val="18"/>
                <w:szCs w:val="18"/>
              </w:rPr>
              <w:t>Q67 Upward Bias</w:t>
            </w:r>
          </w:p>
        </w:tc>
        <w:tc>
          <w:tcPr>
            <w:tcW w:w="22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color w:val="4A5568"/>
                <w:sz w:val="18"/>
                <w:szCs w:val="18"/>
              </w:rPr>
              <w:t>—</w:t>
            </w:r>
          </w:p>
        </w:tc>
        <w:tc>
          <w:tcPr>
            <w:tcW w:w="200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color w:val="4A5568"/>
                <w:sz w:val="18"/>
                <w:szCs w:val="18"/>
              </w:rPr>
              <w:t>—</w:t>
            </w:r>
          </w:p>
        </w:tc>
        <w:tc>
          <w:tcPr>
            <w:tcW w:w="2360" w:type="dxa"/>
            <w:tcBorders>
              <w:top w:val="single" w:sz="1" w:space="0" w:color="C5D5E8"/>
              <w:left w:val="single" w:sz="1" w:space="0" w:color="C5D5E8"/>
              <w:bottom w:val="single" w:sz="1" w:space="0" w:color="C5D5E8"/>
              <w:right w:val="single" w:sz="1" w:space="0" w:color="C5D5E8"/>
            </w:tcBorders>
            <w:shd w:val="clear" w:color="auto" w:fill="F0F4F8"/>
            <w:tcMar>
              <w:top w:w="80" w:type="dxa"/>
              <w:left w:w="120" w:type="dxa"/>
              <w:bottom w:w="80" w:type="dxa"/>
              <w:right w:w="120" w:type="dxa"/>
            </w:tcMar>
          </w:tcPr>
          <w:p w:rsidR="009B2551" w:rsidRDefault="00000000">
            <w:pPr>
              <w:jc w:val="center"/>
            </w:pPr>
            <w:r>
              <w:rPr>
                <w:rFonts w:cs="Calibri"/>
                <w:b/>
                <w:bCs/>
                <w:color w:val="1B4F8A"/>
                <w:sz w:val="18"/>
                <w:szCs w:val="18"/>
              </w:rPr>
              <w:t xml:space="preserve">+2.10 kW </w:t>
            </w:r>
            <w:proofErr w:type="spellStart"/>
            <w:r>
              <w:rPr>
                <w:rFonts w:cs="Calibri"/>
                <w:b/>
                <w:bCs/>
                <w:color w:val="1B4F8A"/>
                <w:sz w:val="18"/>
                <w:szCs w:val="18"/>
              </w:rPr>
              <w:t>avg</w:t>
            </w:r>
            <w:proofErr w:type="spellEnd"/>
          </w:p>
        </w:tc>
      </w:tr>
    </w:tbl>
    <w:p w:rsidR="009B2551" w:rsidRDefault="009B2551">
      <w:pPr>
        <w:spacing w:after="160"/>
      </w:pPr>
    </w:p>
    <w:p w:rsidR="009B2551" w:rsidRDefault="00000000">
      <w:pPr>
        <w:pStyle w:val="Heading2"/>
      </w:pPr>
      <w:r>
        <w:t>7.3 Model Performance Dashboard</w:t>
      </w:r>
    </w:p>
    <w:p w:rsidR="009B2551" w:rsidRDefault="00000000">
      <w:pPr>
        <w:jc w:val="center"/>
      </w:pPr>
      <w:r>
        <w:rPr>
          <w:noProof/>
        </w:rPr>
        <w:lastRenderedPageBreak/>
        <w:drawing>
          <wp:inline distT="0" distB="0" distL="0" distR="0">
            <wp:extent cx="6311130" cy="3805047"/>
            <wp:effectExtent l="0" t="0" r="1270" b="5080"/>
            <wp:docPr id="1350403795" name="Picture 1350403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375147" cy="3843644"/>
                    </a:xfrm>
                    <a:prstGeom prst="rect">
                      <a:avLst/>
                    </a:prstGeom>
                  </pic:spPr>
                </pic:pic>
              </a:graphicData>
            </a:graphic>
          </wp:inline>
        </w:drawing>
      </w:r>
    </w:p>
    <w:p w:rsidR="009B2551" w:rsidRDefault="009B2551">
      <w:pPr>
        <w:spacing w:after="80"/>
      </w:pPr>
    </w:p>
    <w:p w:rsidR="009B2551" w:rsidRDefault="00000000">
      <w:pPr>
        <w:spacing w:before="60" w:after="60"/>
        <w:jc w:val="both"/>
      </w:pPr>
      <w:r>
        <w:rPr>
          <w:rFonts w:cs="Calibri"/>
          <w:color w:val="4A5568"/>
        </w:rPr>
        <w:t xml:space="preserve">Top left: A sample forecast week (7-13 Oct 2019) shows both models tracking actual load closely, with the Q67 model maintaining the theoretically optimal upward bias. Residuals for the Mean Model are </w:t>
      </w:r>
      <w:proofErr w:type="spellStart"/>
      <w:r>
        <w:rPr>
          <w:rFonts w:cs="Calibri"/>
          <w:color w:val="4A5568"/>
        </w:rPr>
        <w:t>centered</w:t>
      </w:r>
      <w:proofErr w:type="spellEnd"/>
      <w:r>
        <w:rPr>
          <w:rFonts w:cs="Calibri"/>
          <w:color w:val="4A5568"/>
        </w:rPr>
        <w:t xml:space="preserve"> precisely at zero with near-zero spread. The penalty comparison bar chart quantifies the 96.4% cost reduction. Cumulative penalty curves show the widening savings gap over the validation period.</w:t>
      </w:r>
    </w:p>
    <w:p w:rsidR="009B2551" w:rsidRDefault="00000000">
      <w:r>
        <w:br w:type="page"/>
      </w:r>
    </w:p>
    <w:p w:rsidR="009B2551" w:rsidRDefault="00000000">
      <w:pPr>
        <w:pStyle w:val="Heading1"/>
        <w:pBdr>
          <w:bottom w:val="single" w:sz="6" w:space="4" w:color="1B4F8A"/>
        </w:pBdr>
      </w:pPr>
      <w:r>
        <w:lastRenderedPageBreak/>
        <w:t>8. Risk Strategy Proposal</w:t>
      </w:r>
    </w:p>
    <w:p w:rsidR="009B2551" w:rsidRDefault="00000000">
      <w:pPr>
        <w:pStyle w:val="Heading2"/>
      </w:pPr>
      <w:r>
        <w:t>8.1 Bias Positioning</w:t>
      </w:r>
    </w:p>
    <w:p w:rsidR="009B2551" w:rsidRDefault="00000000">
      <w:pPr>
        <w:spacing w:before="60" w:after="60"/>
        <w:jc w:val="both"/>
      </w:pPr>
      <w:r>
        <w:rPr>
          <w:rFonts w:cs="Calibri"/>
          <w:color w:val="4A5568"/>
        </w:rPr>
        <w:t>Given the asymmetric penalty structure (Rs. 4/kWh under-forecast vs Rs. 2/kWh over-forecast), a systematic upward bias in forecasts is economically rational. The theoretical optimal quantile is q* = 0.667. Our Q67 model achieves exactly this: it over-forecasts 67.1% of intervals and under-forecasts 32.9%, perfectly matching the theoretical target.</w:t>
      </w:r>
    </w:p>
    <w:p w:rsidR="009B2551" w:rsidRDefault="00000000">
      <w:pPr>
        <w:pStyle w:val="Heading2"/>
      </w:pPr>
      <w:r>
        <w:t>8.2 Hybrid Peak / Off-Peak Strategy</w:t>
      </w:r>
    </w:p>
    <w:p w:rsidR="009B2551" w:rsidRDefault="00000000">
      <w:pPr>
        <w:spacing w:before="60" w:after="60"/>
        <w:jc w:val="both"/>
      </w:pPr>
      <w:r>
        <w:rPr>
          <w:rFonts w:cs="Calibri"/>
          <w:color w:val="4A5568"/>
        </w:rPr>
        <w:t>We propose a hybrid deployment strategy:</w:t>
      </w:r>
    </w:p>
    <w:p w:rsidR="009B2551" w:rsidRDefault="00000000">
      <w:pPr>
        <w:pStyle w:val="ListParagraph"/>
        <w:numPr>
          <w:ilvl w:val="0"/>
          <w:numId w:val="2"/>
        </w:numPr>
        <w:spacing w:before="40" w:after="40"/>
      </w:pPr>
      <w:r>
        <w:rPr>
          <w:b/>
          <w:bCs/>
          <w:color w:val="0A1628"/>
        </w:rPr>
        <w:t xml:space="preserve">Peak Hours: </w:t>
      </w:r>
      <w:r>
        <w:rPr>
          <w:color w:val="4A5568"/>
        </w:rPr>
        <w:t>Peak Hours (6:00 PM to 10:00 PM): Deploy Q67 model. Peak deviations carry higher operational risk and the elevated cost of grid imbalance justifies the conservative upward buffer.</w:t>
      </w:r>
    </w:p>
    <w:p w:rsidR="009B2551" w:rsidRDefault="00000000">
      <w:pPr>
        <w:pStyle w:val="ListParagraph"/>
        <w:numPr>
          <w:ilvl w:val="0"/>
          <w:numId w:val="2"/>
        </w:numPr>
        <w:spacing w:before="40" w:after="40"/>
      </w:pPr>
      <w:r>
        <w:rPr>
          <w:b/>
          <w:bCs/>
          <w:color w:val="0A1628"/>
        </w:rPr>
        <w:t xml:space="preserve">Off-Peak Hours: </w:t>
      </w:r>
      <w:r>
        <w:rPr>
          <w:color w:val="4A5568"/>
        </w:rPr>
        <w:t>Off-Peak Hours (all other intervals): Deploy Mean Model. The tight MAPE of 0.27% and near-zero bias minimizes total penalty while avoiding unnecessary over-procurement.</w:t>
      </w:r>
    </w:p>
    <w:p w:rsidR="009B2551" w:rsidRDefault="00000000">
      <w:pPr>
        <w:pStyle w:val="ListParagraph"/>
        <w:numPr>
          <w:ilvl w:val="0"/>
          <w:numId w:val="2"/>
        </w:numPr>
        <w:spacing w:before="40" w:after="40"/>
      </w:pPr>
      <w:r>
        <w:rPr>
          <w:b/>
          <w:bCs/>
          <w:color w:val="0A1628"/>
        </w:rPr>
        <w:t xml:space="preserve">Special Periods: </w:t>
      </w:r>
      <w:r>
        <w:rPr>
          <w:color w:val="4A5568"/>
        </w:rPr>
        <w:t>Holiday &amp; Event Periods: Deploy Q67 model regardless of hour. Demand uncertainty is higher during holidays and extreme weather events.</w:t>
      </w:r>
    </w:p>
    <w:p w:rsidR="009B2551" w:rsidRDefault="00000000">
      <w:pPr>
        <w:pStyle w:val="Heading2"/>
      </w:pPr>
      <w:r>
        <w:t>8.3 Quantile Buffering Approach</w:t>
      </w:r>
    </w:p>
    <w:p w:rsidR="009B2551" w:rsidRDefault="00000000">
      <w:pPr>
        <w:spacing w:before="60" w:after="60"/>
        <w:jc w:val="both"/>
      </w:pPr>
      <w:r>
        <w:rPr>
          <w:rFonts w:cs="Calibri"/>
          <w:color w:val="4A5568"/>
        </w:rPr>
        <w:t>Rather than a fixed buffer, our quantile regression approach adapts the buffer size to local uncertainty. During periods of high volatility (e.g., onset of monsoon, extreme heat waves), the model's quantile spread widens automatically — providing a larger buffer when the risk of under-forecasting is greatest. This is superior to a naive percentage-based buffer.</w:t>
      </w:r>
    </w:p>
    <w:p w:rsidR="009B2551" w:rsidRDefault="00000000">
      <w:pPr>
        <w:pStyle w:val="Heading2"/>
      </w:pPr>
      <w:r>
        <w:t>8.4 Structural Break Awareness</w:t>
      </w:r>
    </w:p>
    <w:p w:rsidR="009B2551" w:rsidRDefault="00000000">
      <w:pPr>
        <w:spacing w:before="60" w:after="60"/>
        <w:jc w:val="both"/>
      </w:pPr>
      <w:r>
        <w:rPr>
          <w:rFonts w:cs="Calibri"/>
          <w:color w:val="4A5568"/>
        </w:rPr>
        <w:t xml:space="preserve">The COVID period is encoded via 8 distinct binary indicators (Lockdown + Unlock 1-6 + Partial WFH). This allows the model to recognize that a Covid-like regime shift would require a completely different demand level calibration. In production, any future macroeconomic shock would require adding a new indicator flag — the </w:t>
      </w:r>
      <w:proofErr w:type="spellStart"/>
      <w:r>
        <w:rPr>
          <w:rFonts w:cs="Calibri"/>
          <w:color w:val="4A5568"/>
        </w:rPr>
        <w:t>modeling</w:t>
      </w:r>
      <w:proofErr w:type="spellEnd"/>
      <w:r>
        <w:rPr>
          <w:rFonts w:cs="Calibri"/>
          <w:color w:val="4A5568"/>
        </w:rPr>
        <w:t xml:space="preserve"> infrastructure is designed to accommodate this.</w:t>
      </w:r>
    </w:p>
    <w:p w:rsidR="009B2551" w:rsidRDefault="009B2551">
      <w:pPr>
        <w:spacing w:after="160"/>
      </w:pPr>
    </w:p>
    <w:p w:rsidR="009B2551" w:rsidRDefault="00000000">
      <w:pPr>
        <w:pStyle w:val="Heading2"/>
      </w:pPr>
      <w:r>
        <w:t>8.5 Risk Strategy Summary Dashboard</w:t>
      </w:r>
    </w:p>
    <w:p w:rsidR="009B2551" w:rsidRDefault="00000000">
      <w:pPr>
        <w:jc w:val="center"/>
      </w:pPr>
      <w:r>
        <w:rPr>
          <w:noProof/>
        </w:rPr>
        <w:lastRenderedPageBreak/>
        <w:drawing>
          <wp:inline distT="0" distB="0" distL="0" distR="0">
            <wp:extent cx="6172962" cy="3721744"/>
            <wp:effectExtent l="0" t="0" r="0" b="0"/>
            <wp:docPr id="1590354184" name="Picture 1590354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98808" cy="3737327"/>
                    </a:xfrm>
                    <a:prstGeom prst="rect">
                      <a:avLst/>
                    </a:prstGeom>
                  </pic:spPr>
                </pic:pic>
              </a:graphicData>
            </a:graphic>
          </wp:inline>
        </w:drawing>
      </w:r>
    </w:p>
    <w:p w:rsidR="009B2551" w:rsidRDefault="009B2551">
      <w:pPr>
        <w:spacing w:after="80"/>
      </w:pPr>
    </w:p>
    <w:p w:rsidR="009B2551" w:rsidRDefault="00000000">
      <w:pPr>
        <w:spacing w:before="60" w:after="60"/>
        <w:jc w:val="both"/>
      </w:pPr>
      <w:r>
        <w:rPr>
          <w:rFonts w:cs="Calibri"/>
          <w:color w:val="4A5568"/>
        </w:rPr>
        <w:t>Top left: Feature importance analysis (via Random Forest proxy) shows that lag and rolling features dominate (54% combined importance), followed by temporal cyclical features (28%) and weather variables (12%). This confirms that the model is appropriately anchored to recent demand patterns while remaining sensitive to weather drivers. The asymmetric penalty illustration (bottom left) visually demonstrates why upward-biased forecasting is economically rational.</w:t>
      </w:r>
    </w:p>
    <w:p w:rsidR="009B2551" w:rsidRDefault="00000000">
      <w:r>
        <w:br w:type="page"/>
      </w:r>
    </w:p>
    <w:p w:rsidR="009B2551" w:rsidRDefault="00000000">
      <w:pPr>
        <w:pStyle w:val="Heading1"/>
        <w:pBdr>
          <w:bottom w:val="single" w:sz="6" w:space="4" w:color="1B4F8A"/>
        </w:pBdr>
      </w:pPr>
      <w:r>
        <w:lastRenderedPageBreak/>
        <w:t>9. Conclusions &amp; Stage 2 Readiness</w:t>
      </w:r>
    </w:p>
    <w:p w:rsidR="009B2551" w:rsidRDefault="00000000">
      <w:pPr>
        <w:pStyle w:val="Heading2"/>
      </w:pPr>
      <w:r>
        <w:t>9.1 Key Findings</w:t>
      </w:r>
    </w:p>
    <w:p w:rsidR="009B2551" w:rsidRDefault="00000000">
      <w:pPr>
        <w:pStyle w:val="ListParagraph"/>
        <w:numPr>
          <w:ilvl w:val="0"/>
          <w:numId w:val="2"/>
        </w:numPr>
        <w:spacing w:before="40" w:after="40"/>
      </w:pPr>
      <w:r>
        <w:rPr>
          <w:color w:val="4A5568"/>
        </w:rPr>
        <w:t>The ABT penalty asymmetry (Rs. 4 vs Rs. 2) mandates quantile forecasting at q=0.667 — teams minimizing RMSE are solving the wrong problem.</w:t>
      </w:r>
    </w:p>
    <w:p w:rsidR="009B2551" w:rsidRDefault="00000000">
      <w:pPr>
        <w:pStyle w:val="ListParagraph"/>
        <w:numPr>
          <w:ilvl w:val="0"/>
          <w:numId w:val="2"/>
        </w:numPr>
        <w:spacing w:before="40" w:after="40"/>
      </w:pPr>
      <w:proofErr w:type="spellStart"/>
      <w:r>
        <w:rPr>
          <w:color w:val="4A5568"/>
        </w:rPr>
        <w:t>HistGradientBoostingRegressor</w:t>
      </w:r>
      <w:proofErr w:type="spellEnd"/>
      <w:r>
        <w:rPr>
          <w:color w:val="4A5568"/>
        </w:rPr>
        <w:t xml:space="preserve"> with 40+ features achieves MAPE 0.27% and RMSE 6.43 kW — well within operational forecasting standards.</w:t>
      </w:r>
    </w:p>
    <w:p w:rsidR="009B2551" w:rsidRDefault="00000000">
      <w:pPr>
        <w:pStyle w:val="ListParagraph"/>
        <w:numPr>
          <w:ilvl w:val="0"/>
          <w:numId w:val="2"/>
        </w:numPr>
        <w:spacing w:before="40" w:after="40"/>
      </w:pPr>
      <w:r>
        <w:rPr>
          <w:color w:val="4A5568"/>
        </w:rPr>
        <w:t>96.4% penalty reduction versus the naive 2-day-lag baseline demonstrates substantial real-world financial impact.</w:t>
      </w:r>
    </w:p>
    <w:p w:rsidR="009B2551" w:rsidRDefault="00000000">
      <w:pPr>
        <w:pStyle w:val="ListParagraph"/>
        <w:numPr>
          <w:ilvl w:val="0"/>
          <w:numId w:val="2"/>
        </w:numPr>
        <w:spacing w:before="40" w:after="40"/>
      </w:pPr>
      <w:r>
        <w:rPr>
          <w:color w:val="4A5568"/>
        </w:rPr>
        <w:t>COVID structural break handling via one-hot phase encoding is robust and extensible to future demand regime changes.</w:t>
      </w:r>
    </w:p>
    <w:p w:rsidR="009B2551" w:rsidRDefault="00000000">
      <w:pPr>
        <w:pStyle w:val="ListParagraph"/>
        <w:numPr>
          <w:ilvl w:val="0"/>
          <w:numId w:val="2"/>
        </w:numPr>
        <w:spacing w:before="40" w:after="40"/>
      </w:pPr>
      <w:r>
        <w:rPr>
          <w:color w:val="4A5568"/>
        </w:rPr>
        <w:t>Strict temporal validation with no leakage ensures that reported metrics are genuine out-of-sample performance.</w:t>
      </w:r>
    </w:p>
    <w:p w:rsidR="009B2551" w:rsidRDefault="00000000">
      <w:pPr>
        <w:pStyle w:val="Heading2"/>
      </w:pPr>
      <w:r>
        <w:t>9.2 Stage 2 Preparedness</w:t>
      </w:r>
    </w:p>
    <w:p w:rsidR="009B2551" w:rsidRDefault="00000000">
      <w:pPr>
        <w:spacing w:before="60" w:after="60"/>
        <w:jc w:val="both"/>
      </w:pPr>
      <w:r>
        <w:rPr>
          <w:rFonts w:cs="Calibri"/>
          <w:color w:val="4A5568"/>
        </w:rPr>
        <w:t>Our modular architecture is designed to adapt rapidly to the Stage 2 twist. Potential scenarios and our prepared response:</w:t>
      </w:r>
    </w:p>
    <w:p w:rsidR="009B2551" w:rsidRDefault="00000000">
      <w:pPr>
        <w:pStyle w:val="ListParagraph"/>
        <w:numPr>
          <w:ilvl w:val="0"/>
          <w:numId w:val="2"/>
        </w:numPr>
        <w:spacing w:before="40" w:after="40"/>
      </w:pPr>
      <w:r>
        <w:rPr>
          <w:b/>
          <w:bCs/>
          <w:color w:val="0A1628"/>
        </w:rPr>
        <w:t xml:space="preserve">Scenario A: </w:t>
      </w:r>
      <w:r>
        <w:rPr>
          <w:color w:val="4A5568"/>
        </w:rPr>
        <w:t xml:space="preserve">New test period / unseen data: Model is trained on all available data; simply run inference on new </w:t>
      </w:r>
      <w:proofErr w:type="spellStart"/>
      <w:r>
        <w:rPr>
          <w:color w:val="4A5568"/>
        </w:rPr>
        <w:t>DateTime</w:t>
      </w:r>
      <w:proofErr w:type="spellEnd"/>
      <w:r>
        <w:rPr>
          <w:color w:val="4A5568"/>
        </w:rPr>
        <w:t xml:space="preserve"> + weather inputs.</w:t>
      </w:r>
    </w:p>
    <w:p w:rsidR="009B2551" w:rsidRDefault="00000000">
      <w:pPr>
        <w:pStyle w:val="ListParagraph"/>
        <w:numPr>
          <w:ilvl w:val="0"/>
          <w:numId w:val="2"/>
        </w:numPr>
        <w:spacing w:before="40" w:after="40"/>
      </w:pPr>
      <w:r>
        <w:rPr>
          <w:b/>
          <w:bCs/>
          <w:color w:val="0A1628"/>
        </w:rPr>
        <w:t xml:space="preserve">Scenario B: </w:t>
      </w:r>
      <w:r>
        <w:rPr>
          <w:color w:val="4A5568"/>
        </w:rPr>
        <w:t xml:space="preserve">Penalty structure change: The quantile parameter q* = </w:t>
      </w:r>
      <w:proofErr w:type="spellStart"/>
      <w:r>
        <w:rPr>
          <w:color w:val="4A5568"/>
        </w:rPr>
        <w:t>c_under</w:t>
      </w:r>
      <w:proofErr w:type="spellEnd"/>
      <w:r>
        <w:rPr>
          <w:color w:val="4A5568"/>
        </w:rPr>
        <w:t>/(</w:t>
      </w:r>
      <w:proofErr w:type="spellStart"/>
      <w:r>
        <w:rPr>
          <w:color w:val="4A5568"/>
        </w:rPr>
        <w:t>c_under+c_over</w:t>
      </w:r>
      <w:proofErr w:type="spellEnd"/>
      <w:r>
        <w:rPr>
          <w:color w:val="4A5568"/>
        </w:rPr>
        <w:t>) can be recomputed and a new quantile model retrained in minutes.</w:t>
      </w:r>
    </w:p>
    <w:p w:rsidR="009B2551" w:rsidRDefault="00000000">
      <w:pPr>
        <w:pStyle w:val="ListParagraph"/>
        <w:numPr>
          <w:ilvl w:val="0"/>
          <w:numId w:val="2"/>
        </w:numPr>
        <w:spacing w:before="40" w:after="40"/>
      </w:pPr>
      <w:r>
        <w:rPr>
          <w:b/>
          <w:bCs/>
          <w:color w:val="0A1628"/>
        </w:rPr>
        <w:t xml:space="preserve">Scenario C: </w:t>
      </w:r>
      <w:r>
        <w:rPr>
          <w:color w:val="4A5568"/>
        </w:rPr>
        <w:t>Renewable/solar injection: Additional exogenous features for solar output can be incorporated immediately into the feature matrix.</w:t>
      </w:r>
    </w:p>
    <w:p w:rsidR="009B2551" w:rsidRDefault="00000000">
      <w:pPr>
        <w:pStyle w:val="ListParagraph"/>
        <w:numPr>
          <w:ilvl w:val="0"/>
          <w:numId w:val="2"/>
        </w:numPr>
        <w:spacing w:before="40" w:after="40"/>
      </w:pPr>
      <w:r>
        <w:rPr>
          <w:b/>
          <w:bCs/>
          <w:color w:val="0A1628"/>
        </w:rPr>
        <w:t xml:space="preserve">Scenario D: </w:t>
      </w:r>
      <w:r>
        <w:rPr>
          <w:color w:val="4A5568"/>
        </w:rPr>
        <w:t>Rolling/real-time forecast: The pipeline is structured for rolling window inference; lag features update naturally as new actuals arrive.</w:t>
      </w:r>
    </w:p>
    <w:p w:rsidR="009B2551" w:rsidRDefault="00000000">
      <w:r>
        <w:br w:type="page"/>
      </w:r>
    </w:p>
    <w:p w:rsidR="009B2551" w:rsidRDefault="00000000">
      <w:pPr>
        <w:pStyle w:val="Heading1"/>
        <w:pBdr>
          <w:bottom w:val="single" w:sz="6" w:space="4" w:color="1B4F8A"/>
        </w:pBdr>
      </w:pPr>
      <w:r>
        <w:lastRenderedPageBreak/>
        <w:t>Appendix: Model Metrics Glossary</w:t>
      </w:r>
    </w:p>
    <w:p w:rsidR="009B2551" w:rsidRDefault="00000000">
      <w:pPr>
        <w:pStyle w:val="ListParagraph"/>
        <w:numPr>
          <w:ilvl w:val="0"/>
          <w:numId w:val="2"/>
        </w:numPr>
        <w:spacing w:before="40" w:after="40"/>
      </w:pPr>
      <w:r>
        <w:rPr>
          <w:color w:val="4A5568"/>
        </w:rPr>
        <w:t>RMSE (Root Mean Squared Error): Square root of average squared deviations. Penalizes large errors more heavily. Our value: 6.43 kW.</w:t>
      </w:r>
    </w:p>
    <w:p w:rsidR="009B2551" w:rsidRDefault="00000000">
      <w:pPr>
        <w:pStyle w:val="ListParagraph"/>
        <w:numPr>
          <w:ilvl w:val="0"/>
          <w:numId w:val="2"/>
        </w:numPr>
        <w:spacing w:before="40" w:after="40"/>
      </w:pPr>
      <w:r>
        <w:rPr>
          <w:color w:val="4A5568"/>
        </w:rPr>
        <w:t>MAE (Mean Absolute Error): Average absolute deviation. More interpretable as typical error. Our value: 2.72 kW.</w:t>
      </w:r>
    </w:p>
    <w:p w:rsidR="009B2551" w:rsidRDefault="00000000">
      <w:pPr>
        <w:pStyle w:val="ListParagraph"/>
        <w:numPr>
          <w:ilvl w:val="0"/>
          <w:numId w:val="2"/>
        </w:numPr>
        <w:spacing w:before="40" w:after="40"/>
      </w:pPr>
      <w:r>
        <w:rPr>
          <w:color w:val="4A5568"/>
        </w:rPr>
        <w:t>MAPE (Mean Absolute Percentage Error): Error as percentage of actual load. Our value: 0.27% — extremely accurate.</w:t>
      </w:r>
    </w:p>
    <w:p w:rsidR="009B2551" w:rsidRDefault="00000000">
      <w:pPr>
        <w:pStyle w:val="ListParagraph"/>
        <w:numPr>
          <w:ilvl w:val="0"/>
          <w:numId w:val="2"/>
        </w:numPr>
        <w:spacing w:before="40" w:after="40"/>
      </w:pPr>
      <w:r>
        <w:rPr>
          <w:color w:val="4A5568"/>
        </w:rPr>
        <w:t>Forecast Bias: Systematic over/under tendency. Our Mean Model bias: 0.000% — no systematic error.</w:t>
      </w:r>
    </w:p>
    <w:p w:rsidR="009B2551" w:rsidRDefault="00000000">
      <w:pPr>
        <w:pStyle w:val="ListParagraph"/>
        <w:numPr>
          <w:ilvl w:val="0"/>
          <w:numId w:val="2"/>
        </w:numPr>
        <w:spacing w:before="40" w:after="40"/>
      </w:pPr>
      <w:r>
        <w:rPr>
          <w:color w:val="4A5568"/>
        </w:rPr>
        <w:t>95th Percentile Absolute Deviation: Worst-case error in 95% of intervals. Our value: 7.1 kW.</w:t>
      </w:r>
    </w:p>
    <w:p w:rsidR="009B2551" w:rsidRDefault="00000000">
      <w:pPr>
        <w:pStyle w:val="ListParagraph"/>
        <w:numPr>
          <w:ilvl w:val="0"/>
          <w:numId w:val="2"/>
        </w:numPr>
        <w:spacing w:before="40" w:after="40"/>
      </w:pPr>
      <w:r>
        <w:rPr>
          <w:color w:val="4A5568"/>
        </w:rPr>
        <w:t>Quantile q=0.67: The forecast value below which 67% of outcomes fall. Used as cost-optimal upward buffer.</w:t>
      </w:r>
    </w:p>
    <w:p w:rsidR="009B2551" w:rsidRDefault="009B2551">
      <w:pPr>
        <w:spacing w:after="160"/>
      </w:pPr>
    </w:p>
    <w:p w:rsidR="009B2551" w:rsidRDefault="00000000">
      <w:pPr>
        <w:spacing w:before="400"/>
        <w:jc w:val="center"/>
      </w:pPr>
      <w:r>
        <w:rPr>
          <w:rFonts w:cs="Calibri"/>
          <w:color w:val="8BA4C0"/>
          <w:sz w:val="18"/>
          <w:szCs w:val="18"/>
        </w:rPr>
        <w:t>— End of Report —</w:t>
      </w:r>
    </w:p>
    <w:sectPr w:rsidR="009B2551">
      <w:headerReference w:type="default" r:id="rId11"/>
      <w:footerReference w:type="default" r:id="rId12"/>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65A4" w:rsidRDefault="005B65A4">
      <w:r>
        <w:separator/>
      </w:r>
    </w:p>
  </w:endnote>
  <w:endnote w:type="continuationSeparator" w:id="0">
    <w:p w:rsidR="005B65A4" w:rsidRDefault="005B65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2551" w:rsidRDefault="00000000">
    <w:pPr>
      <w:pBdr>
        <w:top w:val="single" w:sz="4" w:space="2" w:color="1B4F8A"/>
      </w:pBdr>
      <w:spacing w:before="80"/>
      <w:jc w:val="center"/>
    </w:pPr>
    <w:r>
      <w:rPr>
        <w:rFonts w:ascii="Arial" w:eastAsia="Arial" w:hAnsi="Arial" w:cs="Arial"/>
        <w:color w:val="8BA4C0"/>
        <w:sz w:val="16"/>
        <w:szCs w:val="16"/>
      </w:rPr>
      <w:t>Forecast Risk Advisory Team  |  Confidential  |  Page Forecast Risk Advisory Team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65A4" w:rsidRDefault="005B65A4">
      <w:r>
        <w:separator/>
      </w:r>
    </w:p>
  </w:footnote>
  <w:footnote w:type="continuationSeparator" w:id="0">
    <w:p w:rsidR="005B65A4" w:rsidRDefault="005B65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2551" w:rsidRDefault="00000000">
    <w:pPr>
      <w:pBdr>
        <w:bottom w:val="single" w:sz="4" w:space="2" w:color="1B4F8A"/>
      </w:pBdr>
    </w:pPr>
    <w:r>
      <w:rPr>
        <w:rFonts w:ascii="Arial" w:eastAsia="Arial" w:hAnsi="Arial" w:cs="Arial"/>
        <w:color w:val="1B4F8A"/>
        <w:sz w:val="16"/>
        <w:szCs w:val="16"/>
      </w:rPr>
      <w:t>GRIDSHIELD | Stage 1 — Baseline Diagnostic &amp; Cost-Aware Forecasting</w:t>
    </w:r>
    <w:r>
      <w:rPr>
        <w:rFonts w:ascii="Arial" w:eastAsia="Arial" w:hAnsi="Arial" w:cs="Arial"/>
        <w:color w:val="8BA4C0"/>
        <w:sz w:val="16"/>
        <w:szCs w:val="16"/>
      </w:rPr>
      <w:t xml:space="preserve">    |    NLD Synapse 2026 · N.L. Dalmia Institute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6E2ACF"/>
    <w:multiLevelType w:val="hybridMultilevel"/>
    <w:tmpl w:val="54CEC6FE"/>
    <w:lvl w:ilvl="0" w:tplc="7468373A">
      <w:start w:val="1"/>
      <w:numFmt w:val="bullet"/>
      <w:lvlText w:val="●"/>
      <w:lvlJc w:val="left"/>
      <w:pPr>
        <w:ind w:left="720" w:hanging="360"/>
      </w:pPr>
    </w:lvl>
    <w:lvl w:ilvl="1" w:tplc="25521C16">
      <w:start w:val="1"/>
      <w:numFmt w:val="bullet"/>
      <w:lvlText w:val="○"/>
      <w:lvlJc w:val="left"/>
      <w:pPr>
        <w:ind w:left="1440" w:hanging="360"/>
      </w:pPr>
    </w:lvl>
    <w:lvl w:ilvl="2" w:tplc="DB12F04E">
      <w:start w:val="1"/>
      <w:numFmt w:val="bullet"/>
      <w:lvlText w:val="■"/>
      <w:lvlJc w:val="left"/>
      <w:pPr>
        <w:ind w:left="2160" w:hanging="360"/>
      </w:pPr>
    </w:lvl>
    <w:lvl w:ilvl="3" w:tplc="60BA2AF0">
      <w:start w:val="1"/>
      <w:numFmt w:val="bullet"/>
      <w:lvlText w:val="●"/>
      <w:lvlJc w:val="left"/>
      <w:pPr>
        <w:ind w:left="2880" w:hanging="360"/>
      </w:pPr>
    </w:lvl>
    <w:lvl w:ilvl="4" w:tplc="7CBE1908">
      <w:start w:val="1"/>
      <w:numFmt w:val="bullet"/>
      <w:lvlText w:val="○"/>
      <w:lvlJc w:val="left"/>
      <w:pPr>
        <w:ind w:left="3600" w:hanging="360"/>
      </w:pPr>
    </w:lvl>
    <w:lvl w:ilvl="5" w:tplc="B49434EC">
      <w:start w:val="1"/>
      <w:numFmt w:val="bullet"/>
      <w:lvlText w:val="■"/>
      <w:lvlJc w:val="left"/>
      <w:pPr>
        <w:ind w:left="4320" w:hanging="360"/>
      </w:pPr>
    </w:lvl>
    <w:lvl w:ilvl="6" w:tplc="87BCD3EC">
      <w:start w:val="1"/>
      <w:numFmt w:val="bullet"/>
      <w:lvlText w:val="●"/>
      <w:lvlJc w:val="left"/>
      <w:pPr>
        <w:ind w:left="5040" w:hanging="360"/>
      </w:pPr>
    </w:lvl>
    <w:lvl w:ilvl="7" w:tplc="C3761FEA">
      <w:start w:val="1"/>
      <w:numFmt w:val="bullet"/>
      <w:lvlText w:val="●"/>
      <w:lvlJc w:val="left"/>
      <w:pPr>
        <w:ind w:left="5760" w:hanging="360"/>
      </w:pPr>
    </w:lvl>
    <w:lvl w:ilvl="8" w:tplc="C63456C6">
      <w:start w:val="1"/>
      <w:numFmt w:val="bullet"/>
      <w:lvlText w:val="●"/>
      <w:lvlJc w:val="left"/>
      <w:pPr>
        <w:ind w:left="6480" w:hanging="360"/>
      </w:pPr>
    </w:lvl>
  </w:abstractNum>
  <w:abstractNum w:abstractNumId="1" w15:restartNumberingAfterBreak="0">
    <w:nsid w:val="57DF5045"/>
    <w:multiLevelType w:val="hybridMultilevel"/>
    <w:tmpl w:val="6638E260"/>
    <w:lvl w:ilvl="0" w:tplc="26282A42">
      <w:start w:val="1"/>
      <w:numFmt w:val="decimal"/>
      <w:lvlText w:val="%1."/>
      <w:lvlJc w:val="left"/>
      <w:pPr>
        <w:ind w:left="720" w:hanging="360"/>
      </w:pPr>
    </w:lvl>
    <w:lvl w:ilvl="1" w:tplc="956AB26A">
      <w:numFmt w:val="decimal"/>
      <w:lvlText w:val=""/>
      <w:lvlJc w:val="left"/>
    </w:lvl>
    <w:lvl w:ilvl="2" w:tplc="0AC6915E">
      <w:numFmt w:val="decimal"/>
      <w:lvlText w:val=""/>
      <w:lvlJc w:val="left"/>
    </w:lvl>
    <w:lvl w:ilvl="3" w:tplc="52EE0FF0">
      <w:numFmt w:val="decimal"/>
      <w:lvlText w:val=""/>
      <w:lvlJc w:val="left"/>
    </w:lvl>
    <w:lvl w:ilvl="4" w:tplc="B4025288">
      <w:numFmt w:val="decimal"/>
      <w:lvlText w:val=""/>
      <w:lvlJc w:val="left"/>
    </w:lvl>
    <w:lvl w:ilvl="5" w:tplc="B9F0D95A">
      <w:numFmt w:val="decimal"/>
      <w:lvlText w:val=""/>
      <w:lvlJc w:val="left"/>
    </w:lvl>
    <w:lvl w:ilvl="6" w:tplc="FC48DEA2">
      <w:numFmt w:val="decimal"/>
      <w:lvlText w:val=""/>
      <w:lvlJc w:val="left"/>
    </w:lvl>
    <w:lvl w:ilvl="7" w:tplc="73168F5A">
      <w:numFmt w:val="decimal"/>
      <w:lvlText w:val=""/>
      <w:lvlJc w:val="left"/>
    </w:lvl>
    <w:lvl w:ilvl="8" w:tplc="F26803A4">
      <w:numFmt w:val="decimal"/>
      <w:lvlText w:val=""/>
      <w:lvlJc w:val="left"/>
    </w:lvl>
  </w:abstractNum>
  <w:abstractNum w:abstractNumId="2" w15:restartNumberingAfterBreak="0">
    <w:nsid w:val="6E6E32B1"/>
    <w:multiLevelType w:val="hybridMultilevel"/>
    <w:tmpl w:val="DB3ACF90"/>
    <w:lvl w:ilvl="0" w:tplc="68969E12">
      <w:start w:val="1"/>
      <w:numFmt w:val="bullet"/>
      <w:lvlText w:val="•"/>
      <w:lvlJc w:val="left"/>
      <w:pPr>
        <w:ind w:left="720" w:hanging="360"/>
      </w:pPr>
    </w:lvl>
    <w:lvl w:ilvl="1" w:tplc="8D3CDE72">
      <w:numFmt w:val="decimal"/>
      <w:lvlText w:val=""/>
      <w:lvlJc w:val="left"/>
    </w:lvl>
    <w:lvl w:ilvl="2" w:tplc="5BB003AA">
      <w:numFmt w:val="decimal"/>
      <w:lvlText w:val=""/>
      <w:lvlJc w:val="left"/>
    </w:lvl>
    <w:lvl w:ilvl="3" w:tplc="105C18B8">
      <w:numFmt w:val="decimal"/>
      <w:lvlText w:val=""/>
      <w:lvlJc w:val="left"/>
    </w:lvl>
    <w:lvl w:ilvl="4" w:tplc="B4E692D4">
      <w:numFmt w:val="decimal"/>
      <w:lvlText w:val=""/>
      <w:lvlJc w:val="left"/>
    </w:lvl>
    <w:lvl w:ilvl="5" w:tplc="3D06A178">
      <w:numFmt w:val="decimal"/>
      <w:lvlText w:val=""/>
      <w:lvlJc w:val="left"/>
    </w:lvl>
    <w:lvl w:ilvl="6" w:tplc="1D48B99E">
      <w:numFmt w:val="decimal"/>
      <w:lvlText w:val=""/>
      <w:lvlJc w:val="left"/>
    </w:lvl>
    <w:lvl w:ilvl="7" w:tplc="6052B336">
      <w:numFmt w:val="decimal"/>
      <w:lvlText w:val=""/>
      <w:lvlJc w:val="left"/>
    </w:lvl>
    <w:lvl w:ilvl="8" w:tplc="B790B0C0">
      <w:numFmt w:val="decimal"/>
      <w:lvlText w:val=""/>
      <w:lvlJc w:val="left"/>
    </w:lvl>
  </w:abstractNum>
  <w:num w:numId="1" w16cid:durableId="750156004">
    <w:abstractNumId w:val="0"/>
    <w:lvlOverride w:ilvl="0">
      <w:startOverride w:val="1"/>
    </w:lvlOverride>
  </w:num>
  <w:num w:numId="2" w16cid:durableId="2067228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551"/>
    <w:rsid w:val="005B65A4"/>
    <w:rsid w:val="0066282F"/>
    <w:rsid w:val="009B2551"/>
    <w:rsid w:val="009E5A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5:docId w15:val="{3D964031-0DEF-A549-A0F5-B90DD3398C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uiPriority w:val="9"/>
    <w:qFormat/>
    <w:pPr>
      <w:spacing w:before="360" w:after="160"/>
      <w:outlineLvl w:val="0"/>
    </w:pPr>
    <w:rPr>
      <w:rFonts w:ascii="Arial" w:eastAsia="Arial" w:hAnsi="Arial" w:cs="Arial"/>
      <w:b/>
      <w:bCs/>
      <w:color w:val="0A1628"/>
      <w:sz w:val="32"/>
      <w:szCs w:val="32"/>
    </w:rPr>
  </w:style>
  <w:style w:type="paragraph" w:styleId="Heading2">
    <w:name w:val="heading 2"/>
    <w:uiPriority w:val="9"/>
    <w:unhideWhenUsed/>
    <w:qFormat/>
    <w:pPr>
      <w:spacing w:before="280" w:after="120"/>
      <w:outlineLvl w:val="1"/>
    </w:pPr>
    <w:rPr>
      <w:rFonts w:ascii="Arial" w:eastAsia="Arial" w:hAnsi="Arial" w:cs="Arial"/>
      <w:b/>
      <w:bCs/>
      <w:color w:val="1B4F8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14</Pages>
  <Words>2205</Words>
  <Characters>12570</Characters>
  <Application>Microsoft Office Word</Application>
  <DocSecurity>0</DocSecurity>
  <Lines>104</Lines>
  <Paragraphs>29</Paragraphs>
  <ScaleCrop>false</ScaleCrop>
  <Company/>
  <LinksUpToDate>false</LinksUpToDate>
  <CharactersWithSpaces>14746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Gupta</cp:lastModifiedBy>
  <cp:revision>2</cp:revision>
  <dcterms:created xsi:type="dcterms:W3CDTF">2026-02-28T15:53:00Z</dcterms:created>
  <dcterms:modified xsi:type="dcterms:W3CDTF">2026-02-28T17:02:00Z</dcterms:modified>
</cp:coreProperties>
</file>