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rFonts w:ascii="Arial" w:cs="Arial" w:eastAsia="Arial" w:hAnsi="Arial"/>
          <w:b/>
          <w:bCs/>
          <w:color w:val="8BA4C0"/>
          <w:sz w:val="20"/>
          <w:szCs w:val="20"/>
        </w:rPr>
        <w:t xml:space="preserve">NLD SYNAPSE 2026  ·  DECODE X  ·  CASE GRIDSHIELD</w:t>
      </w:r>
    </w:p>
    <w:p>
      <w:pPr>
        <w:spacing w:before="0" w:after="80"/>
        <w:jc w:val="center"/>
      </w:pPr>
      <w:r>
        <w:rPr>
          <w:rFonts w:ascii="Arial" w:cs="Arial" w:eastAsia="Arial" w:hAnsi="Arial"/>
          <w:b/>
          <w:bCs/>
          <w:color w:val="0A1628"/>
          <w:sz w:val="72"/>
          <w:szCs w:val="72"/>
        </w:rPr>
        <w:t xml:space="preserve">GRIDSHIELD</w:t>
      </w:r>
    </w:p>
    <w:p>
      <w:pPr>
        <w:spacing w:before="0" w:after="80"/>
        <w:jc w:val="center"/>
      </w:pPr>
      <w:r>
        <w:rPr>
          <w:rFonts w:ascii="Arial" w:cs="Arial" w:eastAsia="Arial" w:hAnsi="Arial"/>
          <w:b/>
          <w:bCs/>
          <w:color w:val="C62828"/>
          <w:sz w:val="32"/>
          <w:szCs w:val="32"/>
        </w:rPr>
        <w:t xml:space="preserve">Stage 2: Regime Shift &amp; Penalty Escalation</w:t>
      </w:r>
    </w:p>
    <w:p>
      <w:pPr>
        <w:spacing w:before="0" w:after="400"/>
        <w:jc w:val="center"/>
      </w:pPr>
      <w:r>
        <w:rPr>
          <w:rFonts w:ascii="Arial" w:cs="Arial" w:eastAsia="Arial" w:hAnsi="Arial"/>
          <w:color w:val="1B4F8A"/>
          <w:sz w:val="20"/>
          <w:szCs w:val="20"/>
        </w:rPr>
        <w:t xml:space="preserve">Out-of-Time Test Period: May 1 – June 1, 2021  |  Lumina Energy, Suburban Mumbai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D5E8" w:sz="1"/>
              <w:left w:val="single" w:color="C5D5E8" w:sz="1"/>
              <w:bottom w:val="single" w:color="C5D5E8" w:sz="1"/>
              <w:right w:val="single" w:color="C5D5E8"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Peak Penalty (Revised)</w:t>
            </w:r>
          </w:p>
        </w:tc>
        <w:tc>
          <w:tcPr>
            <w:tcW w:type="dxa" w:w="2340"/>
            <w:tcBorders>
              <w:top w:val="single" w:color="C5D5E8" w:sz="1"/>
              <w:left w:val="single" w:color="C5D5E8" w:sz="1"/>
              <w:bottom w:val="single" w:color="C5D5E8" w:sz="1"/>
              <w:right w:val="single" w:color="C5D5E8"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New Optimal q* (Peak)</w:t>
            </w:r>
          </w:p>
        </w:tc>
        <w:tc>
          <w:tcPr>
            <w:tcW w:type="dxa" w:w="2340"/>
            <w:tcBorders>
              <w:top w:val="single" w:color="C5D5E8" w:sz="1"/>
              <w:left w:val="single" w:color="C5D5E8" w:sz="1"/>
              <w:bottom w:val="single" w:color="C5D5E8" w:sz="1"/>
              <w:right w:val="single" w:color="C5D5E8" w:sz="1"/>
            </w:tcBorders>
            <w:shd w:fill="E873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RMSE</w:t>
            </w:r>
          </w:p>
        </w:tc>
        <w:tc>
          <w:tcPr>
            <w:tcW w:type="dxa" w:w="2340"/>
            <w:tcBorders>
              <w:top w:val="single" w:color="C5D5E8" w:sz="1"/>
              <w:left w:val="single" w:color="C5D5E8" w:sz="1"/>
              <w:bottom w:val="single" w:color="C5D5E8" w:sz="1"/>
              <w:right w:val="single" w:color="C5D5E8" w:sz="1"/>
            </w:tcBorders>
            <w:shd w:fill="E873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Daily Penalty Change</w:t>
            </w:r>
          </w:p>
        </w:tc>
      </w:tr>
      <w:tr>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Rs. 6/kWh (was Rs. 4)</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0.750 (was 0.667)</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E8732A"/>
                <w:sz w:val="18"/>
                <w:szCs w:val="18"/>
              </w:rPr>
              <w:t xml:space="preserve">116 kW (was 6.43)</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E8732A"/>
                <w:sz w:val="18"/>
                <w:szCs w:val="18"/>
              </w:rPr>
              <w:t xml:space="preserve">31× increase</w:t>
            </w:r>
          </w:p>
        </w:tc>
      </w:tr>
    </w:tbl>
    <w:p>
      <w:pPr>
        <w:spacing w:before="0" w:after="160"/>
      </w:pPr>
      <w:r>
        <w:t xml:space="preserve"/>
      </w:r>
    </w:p>
    <w:p>
      <w:pPr>
        <w:jc w:val="center"/>
      </w:pPr>
      <w:r>
        <w:rPr>
          <w:rFonts w:ascii="Calibri" w:cs="Calibri" w:eastAsia="Calibri" w:hAnsi="Calibri"/>
          <w:color w:val="8BA4C0"/>
          <w:sz w:val="18"/>
          <w:szCs w:val="18"/>
        </w:rPr>
        <w:t xml:space="preserve">28 February 2026  |  Forecast Risk Advisory Team</w:t>
      </w:r>
    </w:p>
    <w:p>
      <w:r>
        <w:br w:type="page"/>
      </w:r>
    </w:p>
    <w:p>
      <w:pPr>
        <w:pStyle w:val="Heading1"/>
        <w:pBdr>
          <w:bottom w:val="single" w:color="C62828" w:sz="6" w:space="4"/>
        </w:pBdr>
        <w:spacing w:before="360" w:after="160"/>
      </w:pPr>
      <w:r>
        <w:rPr>
          <w:rFonts w:ascii="Arial" w:cs="Arial" w:eastAsia="Arial" w:hAnsi="Arial"/>
          <w:b/>
          <w:bCs/>
          <w:color w:val="0A1628"/>
          <w:sz w:val="32"/>
          <w:szCs w:val="32"/>
        </w:rPr>
        <w:t xml:space="preserve">1. Executive Summary</w:t>
      </w:r>
    </w:p>
    <w:p>
      <w:pPr>
        <w:spacing w:before="60" w:after="60"/>
        <w:jc w:val="both"/>
      </w:pPr>
      <w:r>
        <w:rPr>
          <w:rFonts w:ascii="Calibri" w:cs="Calibri" w:eastAsia="Calibri" w:hAnsi="Calibri"/>
          <w:color w:val="4A5568"/>
          <w:sz w:val="22"/>
          <w:szCs w:val="22"/>
        </w:rPr>
        <w:t xml:space="preserve">Stage 2 presented two simultaneous shocks. The first was a regulatory change: the peak-hour (6:00 PM – 10:00 PM) under-forecast penalty was escalated from Rs. 4/kWh to Rs. 6/kWh, a 50% increase. The second, and more consequential, was a structural demand regime shift in the test data — May–June 2021 was not a typical summer period, but a period shaped by Maharashtra's Break the Chain COVID-19 restrictions and the landfall of Cyclone Tauktae on May 17–18.</w:t>
      </w:r>
    </w:p>
    <w:p>
      <w:pPr>
        <w:spacing w:before="0" w:after="80"/>
      </w:pPr>
      <w:r>
        <w:t xml:space="preserve"/>
      </w:r>
    </w:p>
    <w:p>
      <w:pPr>
        <w:spacing w:before="60" w:after="60"/>
        <w:jc w:val="both"/>
      </w:pPr>
      <w:r>
        <w:rPr>
          <w:rFonts w:ascii="Calibri" w:cs="Calibri" w:eastAsia="Calibri" w:hAnsi="Calibri"/>
          <w:color w:val="4A5568"/>
          <w:sz w:val="22"/>
          <w:szCs w:val="22"/>
        </w:rPr>
        <w:t xml:space="preserve">These two events combined to produce a 31× increase in daily penalty exposure — from Rs. 196/day in Stage 1 to Rs. 6,096/day in Stage 2. Critically, the regulatory change alone accounts for an estimated 15% of this increase. The remaining 85% is attributable to the demand regime shift that the Stage 1 models — trained on pre-May 2021 data — could not have anticipated. This distinction matters: it separates what was addressable through model recalibration (the peak quantile adjustment from 0.667 to 0.750) from what was inherently structural (the Break the Chain demand suppression and the cyclone disruption).</w:t>
      </w:r>
    </w:p>
    <w:p>
      <w:pPr>
        <w:spacing w:before="0" w:after="80"/>
      </w:pPr>
      <w:r>
        <w:t xml:space="preserve"/>
      </w:r>
    </w:p>
    <w:p>
      <w:pPr>
        <w:spacing w:before="60" w:after="60"/>
        <w:jc w:val="both"/>
      </w:pPr>
      <w:r>
        <w:rPr>
          <w:rFonts w:ascii="Calibri" w:cs="Calibri" w:eastAsia="Calibri" w:hAnsi="Calibri"/>
          <w:color w:val="4A5568"/>
          <w:sz w:val="22"/>
          <w:szCs w:val="22"/>
        </w:rPr>
        <w:t xml:space="preserve">Our immediate response was to: (1) recalibrate the peak-hour forecast model to the theoretically optimal q=0.750 quantile, (2) retrain all models on the full available training history, (3) document the structural drivers with empirical evidence, and (4) propose adaptive recalibration procedures for sustained high-volatility environments.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D5E8" w:sz="1"/>
              <w:left w:val="single" w:color="C5D5E8" w:sz="1"/>
              <w:bottom w:val="single" w:color="C5D5E8" w:sz="1"/>
              <w:right w:val="single" w:color="C5D5E8"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3120"/>
            <w:tcBorders>
              <w:top w:val="single" w:color="C5D5E8" w:sz="1"/>
              <w:left w:val="single" w:color="C5D5E8" w:sz="1"/>
              <w:bottom w:val="single" w:color="C5D5E8" w:sz="1"/>
              <w:right w:val="single" w:color="C5D5E8"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 1 (Validation)</w:t>
            </w:r>
          </w:p>
        </w:tc>
        <w:tc>
          <w:tcPr>
            <w:tcW w:type="dxa" w:w="3120"/>
            <w:tcBorders>
              <w:top w:val="single" w:color="C5D5E8" w:sz="1"/>
              <w:left w:val="single" w:color="C5D5E8" w:sz="1"/>
              <w:bottom w:val="single" w:color="C5D5E8" w:sz="1"/>
              <w:right w:val="single" w:color="C5D5E8"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 2 (Test)</w:t>
            </w:r>
          </w:p>
        </w:tc>
      </w:tr>
      <w:tr>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Avg Daily Penalty</w:t>
            </w:r>
          </w:p>
        </w:tc>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Rs. 196</w:t>
            </w:r>
          </w:p>
        </w:tc>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Rs. 6,096</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Model RMSE</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6.43 kW</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116 kW</w:t>
            </w:r>
          </w:p>
        </w:tc>
      </w:tr>
      <w:tr>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Peak Under-forecast Rate</w:t>
            </w:r>
          </w:p>
        </w:tc>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1B4F8A"/>
                <w:sz w:val="18"/>
                <w:szCs w:val="18"/>
              </w:rPr>
              <w:t xml:space="preserve">Rs. 4/kWh</w:t>
            </w:r>
          </w:p>
        </w:tc>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Rs. 6/kWh (+50%)</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Optimal Peak Quantile</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1B4F8A"/>
                <w:sz w:val="18"/>
                <w:szCs w:val="18"/>
              </w:rPr>
              <w:t xml:space="preserve">q* = 0.667</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q* = 0.750</w:t>
            </w:r>
          </w:p>
        </w:tc>
      </w:tr>
      <w:tr>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Primary Penalty Driver</w:t>
            </w:r>
          </w:p>
        </w:tc>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1B4F8A"/>
                <w:sz w:val="18"/>
                <w:szCs w:val="18"/>
              </w:rPr>
              <w:t xml:space="preserve">Forecast errors (6.43 kW RMSE)</w:t>
            </w:r>
          </w:p>
        </w:tc>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Regime shift + regulatory change</w:t>
            </w:r>
          </w:p>
        </w:tc>
      </w:tr>
    </w:tbl>
    <w:p>
      <w:r>
        <w:br w:type="page"/>
      </w:r>
    </w:p>
    <w:p>
      <w:pPr>
        <w:pStyle w:val="Heading1"/>
        <w:pBdr>
          <w:bottom w:val="single" w:color="C62828" w:sz="6" w:space="4"/>
        </w:pBdr>
        <w:spacing w:before="360" w:after="160"/>
      </w:pPr>
      <w:r>
        <w:rPr>
          <w:rFonts w:ascii="Arial" w:cs="Arial" w:eastAsia="Arial" w:hAnsi="Arial"/>
          <w:b/>
          <w:bCs/>
          <w:color w:val="0A1628"/>
          <w:sz w:val="32"/>
          <w:szCs w:val="32"/>
        </w:rPr>
        <w:t xml:space="preserve">2. Regulatory Update: Peak Penalty Escalation</w:t>
      </w:r>
    </w:p>
    <w:p>
      <w:pPr>
        <w:pStyle w:val="Heading2"/>
        <w:spacing w:before="280" w:after="120"/>
      </w:pPr>
      <w:r>
        <w:rPr>
          <w:rFonts w:ascii="Arial" w:cs="Arial" w:eastAsia="Arial" w:hAnsi="Arial"/>
          <w:b/>
          <w:bCs/>
          <w:color w:val="1B4F8A"/>
          <w:sz w:val="26"/>
          <w:szCs w:val="26"/>
        </w:rPr>
        <w:t xml:space="preserve">2.1 What Changed and Why It Matters</w:t>
      </w:r>
    </w:p>
    <w:p>
      <w:pPr>
        <w:spacing w:before="60" w:after="60"/>
        <w:jc w:val="both"/>
      </w:pPr>
      <w:r>
        <w:rPr>
          <w:rFonts w:ascii="Calibri" w:cs="Calibri" w:eastAsia="Calibri" w:hAnsi="Calibri"/>
          <w:color w:val="4A5568"/>
          <w:sz w:val="22"/>
          <w:szCs w:val="22"/>
        </w:rPr>
        <w:t xml:space="preserve">The Stage 2 regulatory update escalated the peak-hour under-forecast penalty from Rs. 4/kWh to Rs. 6/kWh, while leaving the over-forecast penalty (Rs. 2/kWh) and all off-peak penalties unchanged. This asymmetry has a direct mathematical consequence on the optimal forecasting strategy.</w:t>
      </w:r>
    </w:p>
    <w:p>
      <w:pPr>
        <w:spacing w:before="0" w:after="80"/>
      </w:pPr>
      <w:r>
        <w:t xml:space="preserve"/>
      </w:r>
    </w:p>
    <w:p>
      <w:pPr>
        <w:spacing w:before="60" w:after="60"/>
        <w:jc w:val="both"/>
      </w:pPr>
      <w:r>
        <w:rPr>
          <w:rFonts w:ascii="Calibri" w:cs="Calibri" w:eastAsia="Calibri" w:hAnsi="Calibri"/>
          <w:color w:val="4A5568"/>
          <w:sz w:val="22"/>
          <w:szCs w:val="22"/>
        </w:rPr>
        <w:t xml:space="preserve">Under the newsvendor cost minimization framework, when a forecast has an asymmetric cost structure — where being too low costs differently from being too high — the optimal forecast is not the conditional mean (q=0.5) but a specific quantile of the load distribution. The formula is:</w:t>
      </w:r>
    </w:p>
    <w:p>
      <w:pPr>
        <w:spacing w:before="0" w:after="80"/>
      </w:pPr>
      <w:r>
        <w:t xml:space="preserve"/>
      </w:r>
    </w:p>
    <w:p>
      <w:pPr>
        <w:spacing w:before="100" w:after="100"/>
        <w:jc w:val="center"/>
      </w:pPr>
      <w:r>
        <w:rPr>
          <w:rFonts w:ascii="Courier New" w:cs="Courier New" w:eastAsia="Courier New" w:hAnsi="Courier New"/>
          <w:b/>
          <w:bCs/>
          <w:color w:val="1B4F8A"/>
          <w:sz w:val="26"/>
          <w:szCs w:val="26"/>
        </w:rPr>
        <w:t xml:space="preserve">q* = c_under / (c_under + c_over)</w:t>
      </w:r>
    </w:p>
    <w:p>
      <w:pPr>
        <w:spacing w:before="0" w:after="80"/>
      </w:pPr>
      <w:r>
        <w:t xml:space="preserve"/>
      </w:r>
    </w:p>
    <w:p>
      <w:pPr>
        <w:spacing w:before="60" w:after="60"/>
        <w:jc w:val="both"/>
      </w:pPr>
      <w:r>
        <w:rPr>
          <w:rFonts w:ascii="Calibri" w:cs="Calibri" w:eastAsia="Calibri" w:hAnsi="Calibri"/>
          <w:color w:val="4A5568"/>
          <w:sz w:val="22"/>
          <w:szCs w:val="22"/>
        </w:rPr>
        <w:t xml:space="preserve">In Stage 1, the peak quantile was: q* = 4 / (4 + 2) = 0.667. In Stage 2, with the peak under-forecast rate rising to Rs. 6: q* = 6 / (6 + 2) = 0.750. This means the forecast must be positioned at the 75th percentile of the expected load distribution during peak hours — a more aggressive upward buffer than Stage 1 required. Any model still using q=0.667 for peak hours systematically under-prices the risk of under-forecasting.</w:t>
      </w:r>
    </w:p>
    <w:p>
      <w:pPr>
        <w:spacing w:before="0" w:after="80"/>
      </w:pPr>
      <w:r>
        <w:t xml:space="preserve"/>
      </w:r>
    </w:p>
    <w:p>
      <w:pPr>
        <w:pStyle w:val="Heading2"/>
        <w:spacing w:before="280" w:after="120"/>
      </w:pPr>
      <w:r>
        <w:rPr>
          <w:rFonts w:ascii="Arial" w:cs="Arial" w:eastAsia="Arial" w:hAnsi="Arial"/>
          <w:b/>
          <w:bCs/>
          <w:color w:val="1B4F8A"/>
          <w:sz w:val="26"/>
          <w:szCs w:val="26"/>
        </w:rPr>
        <w:t xml:space="preserve">2.2 Revised Penalty Structure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5D5E8" w:sz="1"/>
              <w:left w:val="single" w:color="C5D5E8" w:sz="1"/>
              <w:bottom w:val="single" w:color="C5D5E8" w:sz="1"/>
              <w:right w:val="single" w:color="C5D5E8"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Period</w:t>
            </w:r>
          </w:p>
        </w:tc>
        <w:tc>
          <w:tcPr>
            <w:tcW w:type="dxa" w:w="1560"/>
            <w:tcBorders>
              <w:top w:val="single" w:color="C5D5E8" w:sz="1"/>
              <w:left w:val="single" w:color="C5D5E8" w:sz="1"/>
              <w:bottom w:val="single" w:color="C5D5E8" w:sz="1"/>
              <w:right w:val="single" w:color="C5D5E8"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Condition</w:t>
            </w:r>
          </w:p>
        </w:tc>
        <w:tc>
          <w:tcPr>
            <w:tcW w:type="dxa" w:w="1560"/>
            <w:tcBorders>
              <w:top w:val="single" w:color="C5D5E8" w:sz="1"/>
              <w:left w:val="single" w:color="C5D5E8" w:sz="1"/>
              <w:bottom w:val="single" w:color="C5D5E8" w:sz="1"/>
              <w:right w:val="single" w:color="C5D5E8"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 1</w:t>
            </w:r>
          </w:p>
        </w:tc>
        <w:tc>
          <w:tcPr>
            <w:tcW w:type="dxa" w:w="1560"/>
            <w:tcBorders>
              <w:top w:val="single" w:color="C5D5E8" w:sz="1"/>
              <w:left w:val="single" w:color="C5D5E8" w:sz="1"/>
              <w:bottom w:val="single" w:color="C5D5E8" w:sz="1"/>
              <w:right w:val="single" w:color="C5D5E8"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 2</w:t>
            </w:r>
          </w:p>
        </w:tc>
        <w:tc>
          <w:tcPr>
            <w:tcW w:type="dxa" w:w="2340"/>
            <w:tcBorders>
              <w:top w:val="single" w:color="C5D5E8" w:sz="1"/>
              <w:left w:val="single" w:color="C5D5E8" w:sz="1"/>
              <w:bottom w:val="single" w:color="C5D5E8" w:sz="1"/>
              <w:right w:val="single" w:color="C5D5E8"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Optimal q*</w:t>
            </w:r>
          </w:p>
        </w:tc>
      </w:tr>
      <w:tr>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bCs/>
                <w:color w:val="C62828"/>
                <w:sz w:val="18"/>
                <w:szCs w:val="18"/>
              </w:rPr>
              <w:t xml:space="preserve">Peak (6–10 PM)</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Under</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1B4F8A"/>
                <w:sz w:val="18"/>
                <w:szCs w:val="18"/>
              </w:rPr>
              <w:t xml:space="preserve">Rs. 4</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Rs. 6 ↑</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0.667 → 0.750</w:t>
            </w:r>
          </w:p>
        </w:tc>
      </w:tr>
      <w:tr>
        <w:tc>
          <w:tcPr>
            <w:tcW w:type="dxa" w:w="23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Peak (6–10 PM)</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Over</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Rs. 2</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2E7D32"/>
                <w:sz w:val="18"/>
                <w:szCs w:val="18"/>
              </w:rPr>
              <w:t xml:space="preserve">Rs. 2</w:t>
            </w:r>
          </w:p>
        </w:tc>
        <w:tc>
          <w:tcPr>
            <w:tcW w:type="dxa" w:w="23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2E7D32"/>
                <w:sz w:val="18"/>
                <w:szCs w:val="18"/>
              </w:rPr>
              <w:t xml:space="preserve">Unchanged</w:t>
            </w:r>
          </w:p>
        </w:tc>
      </w:tr>
      <w:tr>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Off-Peak</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Under</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Rs. 4</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2E7D32"/>
                <w:sz w:val="18"/>
                <w:szCs w:val="18"/>
              </w:rPr>
              <w:t xml:space="preserve">Rs. 4</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2E7D32"/>
                <w:sz w:val="18"/>
                <w:szCs w:val="18"/>
              </w:rPr>
              <w:t xml:space="preserve">0.667 (unchanged)</w:t>
            </w:r>
          </w:p>
        </w:tc>
      </w:tr>
      <w:tr>
        <w:tc>
          <w:tcPr>
            <w:tcW w:type="dxa" w:w="23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Off-Peak</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Over</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Rs. 2</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2E7D32"/>
                <w:sz w:val="18"/>
                <w:szCs w:val="18"/>
              </w:rPr>
              <w:t xml:space="preserve">Rs. 2</w:t>
            </w:r>
          </w:p>
        </w:tc>
        <w:tc>
          <w:tcPr>
            <w:tcW w:type="dxa" w:w="23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2E7D32"/>
                <w:sz w:val="18"/>
                <w:szCs w:val="18"/>
              </w:rPr>
              <w:t xml:space="preserve">Unchanged</w:t>
            </w:r>
          </w:p>
        </w:tc>
      </w:tr>
    </w:tbl>
    <w:p>
      <w:r>
        <w:br w:type="page"/>
      </w:r>
    </w:p>
    <w:p>
      <w:pPr>
        <w:pStyle w:val="Heading1"/>
        <w:pBdr>
          <w:bottom w:val="single" w:color="C62828" w:sz="6" w:space="4"/>
        </w:pBdr>
        <w:spacing w:before="360" w:after="160"/>
      </w:pPr>
      <w:r>
        <w:rPr>
          <w:rFonts w:ascii="Arial" w:cs="Arial" w:eastAsia="Arial" w:hAnsi="Arial"/>
          <w:b/>
          <w:bCs/>
          <w:color w:val="0A1628"/>
          <w:sz w:val="32"/>
          <w:szCs w:val="32"/>
        </w:rPr>
        <w:t xml:space="preserve">3. Regime Shift: Root Cause Analysis</w:t>
      </w:r>
    </w:p>
    <w:p>
      <w:pPr>
        <w:pStyle w:val="Heading2"/>
        <w:spacing w:before="280" w:after="120"/>
      </w:pPr>
      <w:r>
        <w:rPr>
          <w:rFonts w:ascii="Arial" w:cs="Arial" w:eastAsia="Arial" w:hAnsi="Arial"/>
          <w:b/>
          <w:bCs/>
          <w:color w:val="1B4F8A"/>
          <w:sz w:val="26"/>
          <w:szCs w:val="26"/>
        </w:rPr>
        <w:t xml:space="preserve">3.1 The Test Data Is Not a Typical May</w:t>
      </w:r>
    </w:p>
    <w:p>
      <w:pPr>
        <w:spacing w:before="60" w:after="60"/>
        <w:jc w:val="both"/>
      </w:pPr>
      <w:r>
        <w:rPr>
          <w:rFonts w:ascii="Calibri" w:cs="Calibri" w:eastAsia="Calibri" w:hAnsi="Calibri"/>
          <w:color w:val="4A5568"/>
          <w:sz w:val="22"/>
          <w:szCs w:val="22"/>
        </w:rPr>
        <w:t xml:space="preserve">The test period (May 1 – June 1, 2021) saw an average load of 1,273 kW — 13.0% below the pre-COVID May 2019 baseline of 1,464 kW, and 8.0% below all historical May averages (1,382 kW). Crucially, this suppression is not explained by weather alone: May 2021 temperatures were within the normal 30–33°C range for most of the period. The suppression has a specific, verifiable cause.</w:t>
      </w:r>
    </w:p>
    <w:p>
      <w:pPr>
        <w:spacing w:before="0" w:after="80"/>
      </w:pPr>
      <w:r>
        <w:t xml:space="preserve"/>
      </w:r>
    </w:p>
    <w:p>
      <w:pPr>
        <w:pStyle w:val="Heading2"/>
        <w:spacing w:before="280" w:after="120"/>
      </w:pPr>
      <w:r>
        <w:rPr>
          <w:rFonts w:ascii="Arial" w:cs="Arial" w:eastAsia="Arial" w:hAnsi="Arial"/>
          <w:b/>
          <w:bCs/>
          <w:color w:val="1B4F8A"/>
          <w:sz w:val="26"/>
          <w:szCs w:val="26"/>
        </w:rPr>
        <w:t xml:space="preserve">3.2 Driver 1 — Maharashtra's Break the Chain Restrictions</w:t>
      </w:r>
    </w:p>
    <w:p>
      <w:pPr>
        <w:spacing w:before="60" w:after="60"/>
        <w:jc w:val="both"/>
      </w:pPr>
      <w:r>
        <w:rPr>
          <w:rFonts w:ascii="Calibri" w:cs="Calibri" w:eastAsia="Calibri" w:hAnsi="Calibri"/>
          <w:color w:val="4A5568"/>
          <w:sz w:val="22"/>
          <w:szCs w:val="22"/>
        </w:rPr>
        <w:t xml:space="preserve">Maharashtra imposed 'Break the Chain' restrictions in two phases to contain the COVID-19 second wave (Delta variant). These are the same state-level restrictions that characterise the COVID indicators in our model's training data. The key distinction — which explains the regime shift — is that our training data ends in April 2021, which was a full strict lockdown phase. The May 2021 test period falls in a transitional unlock phase that does not match any earlier regime in the training history.</w:t>
      </w:r>
    </w:p>
    <w:p>
      <w:pPr>
        <w:spacing w:before="0" w:after="80"/>
      </w:pPr>
      <w:r>
        <w:t xml:space="preserve"/>
      </w:r>
    </w:p>
    <w:p>
      <w:pPr>
        <w:pStyle w:val="ListParagraph"/>
        <w:numPr>
          <w:ilvl w:val="0"/>
          <w:numId w:val="2"/>
        </w:numPr>
        <w:spacing w:before="40" w:after="40"/>
      </w:pPr>
      <w:r>
        <w:rPr>
          <w:rFonts w:ascii="Calibri" w:cs="Calibri" w:eastAsia="Calibri" w:hAnsi="Calibri"/>
          <w:b/>
          <w:bCs/>
          <w:color w:val="0A1628"/>
          <w:sz w:val="22"/>
          <w:szCs w:val="22"/>
        </w:rPr>
        <w:t xml:space="preserve">Phase 1: </w:t>
      </w:r>
      <w:r>
        <w:rPr>
          <w:rFonts w:ascii="Calibri" w:cs="Calibri" w:eastAsia="Calibri" w:hAnsi="Calibri"/>
          <w:color w:val="4A5568"/>
          <w:sz w:val="22"/>
          <w:szCs w:val="22"/>
        </w:rPr>
        <w:t xml:space="preserve">Break the Chain 2.0 (May 1–14): Offices, malls, restaurants, and most commercial establishments closed. Essential services and manufacturing exempted. Average test load during this phase: 1,316 kW.</w:t>
      </w:r>
    </w:p>
    <w:p>
      <w:pPr>
        <w:pStyle w:val="ListParagraph"/>
        <w:numPr>
          <w:ilvl w:val="0"/>
          <w:numId w:val="2"/>
        </w:numPr>
        <w:spacing w:before="40" w:after="40"/>
      </w:pPr>
      <w:r>
        <w:rPr>
          <w:rFonts w:ascii="Calibri" w:cs="Calibri" w:eastAsia="Calibri" w:hAnsi="Calibri"/>
          <w:b/>
          <w:bCs/>
          <w:color w:val="0A1628"/>
          <w:sz w:val="22"/>
          <w:szCs w:val="22"/>
        </w:rPr>
        <w:t xml:space="preserve">Phase 2: </w:t>
      </w:r>
      <w:r>
        <w:rPr>
          <w:rFonts w:ascii="Calibri" w:cs="Calibri" w:eastAsia="Calibri" w:hAnsi="Calibri"/>
          <w:color w:val="4A5568"/>
          <w:sz w:val="22"/>
          <w:szCs w:val="22"/>
        </w:rPr>
        <w:t xml:space="preserve">Break the Chain Partial Unlock (May 15–31): Gradual reopening of manufacturing and some retail. Still restricted on offices and hospitality. Average load during this phase: 1,238 kW — actually lower than the strict phase, partly driven by Cyclone Tauktae (see below).</w:t>
      </w:r>
    </w:p>
    <w:p>
      <w:pPr>
        <w:pStyle w:val="ListParagraph"/>
        <w:numPr>
          <w:ilvl w:val="0"/>
          <w:numId w:val="2"/>
        </w:numPr>
        <w:spacing w:before="40" w:after="40"/>
      </w:pPr>
      <w:r>
        <w:rPr>
          <w:rFonts w:ascii="Calibri" w:cs="Calibri" w:eastAsia="Calibri" w:hAnsi="Calibri"/>
          <w:b/>
          <w:bCs/>
          <w:color w:val="0A1628"/>
          <w:sz w:val="22"/>
          <w:szCs w:val="22"/>
        </w:rPr>
        <w:t xml:space="preserve">June 1 Unlock: </w:t>
      </w:r>
      <w:r>
        <w:rPr>
          <w:rFonts w:ascii="Calibri" w:cs="Calibri" w:eastAsia="Calibri" w:hAnsi="Calibri"/>
          <w:color w:val="4A5568"/>
          <w:sz w:val="22"/>
          <w:szCs w:val="22"/>
        </w:rPr>
        <w:t xml:space="preserve">Mission Begin Again (June 1): Full commercial reopening. June 1 load jumped to 1,521 kW — a 19.4% single-day rebound versus the May average, confirming the pent-up commercial demand during the restriction period.</w:t>
      </w:r>
    </w:p>
    <w:p>
      <w:pPr>
        <w:spacing w:before="0" w:after="80"/>
      </w:pPr>
      <w:r>
        <w:t xml:space="preserve"/>
      </w:r>
    </w:p>
    <w:p>
      <w:pPr>
        <w:spacing w:before="60" w:after="60"/>
        <w:jc w:val="both"/>
      </w:pPr>
      <w:r>
        <w:rPr>
          <w:rFonts w:ascii="Calibri" w:cs="Calibri" w:eastAsia="Calibri" w:hAnsi="Calibri"/>
          <w:color w:val="4A5568"/>
          <w:sz w:val="22"/>
          <w:szCs w:val="22"/>
        </w:rPr>
        <w:t xml:space="preserve">The weekday-vs-weekend demand elasticity ratio provides the clearest evidence of commercial sector closure. In historical May training data, weekday load (1,444 kW) was 8.4% above weekend load (1,332 kW), reflecting regular office and commercial activity. In May 2021, weekday load (1,285 kW) was only 2.9% above weekend load (1,249 kW) — a 5.5 percentage point compression. Since weekends already have minimal office activity, the ratio compression confirms that the weekday commercial/office demand specifically was suppressed. This is the hallmark signature of a lockdown in load data.</w:t>
      </w:r>
    </w:p>
    <w:p>
      <w:pPr>
        <w:spacing w:before="0" w:after="80"/>
      </w:pPr>
      <w:r>
        <w:t xml:space="preserve"/>
      </w:r>
    </w:p>
    <w:p>
      <w:pPr>
        <w:pStyle w:val="Heading2"/>
        <w:spacing w:before="280" w:after="120"/>
      </w:pPr>
      <w:r>
        <w:rPr>
          <w:rFonts w:ascii="Arial" w:cs="Arial" w:eastAsia="Arial" w:hAnsi="Arial"/>
          <w:b/>
          <w:bCs/>
          <w:color w:val="1B4F8A"/>
          <w:sz w:val="26"/>
          <w:szCs w:val="26"/>
        </w:rPr>
        <w:t xml:space="preserve">3.3 Driver 2 — Cyclone Tauktae (May 17–18)</w:t>
      </w:r>
    </w:p>
    <w:p>
      <w:pPr>
        <w:spacing w:before="60" w:after="60"/>
        <w:jc w:val="both"/>
      </w:pPr>
      <w:r>
        <w:rPr>
          <w:rFonts w:ascii="Calibri" w:cs="Calibri" w:eastAsia="Calibri" w:hAnsi="Calibri"/>
          <w:color w:val="4A5568"/>
          <w:sz w:val="22"/>
          <w:szCs w:val="22"/>
        </w:rPr>
        <w:t xml:space="preserve">Cyclone Tauktae, classified as an Extremely Severe Cyclonic Storm, made landfall in Gujarat on May 17, 2021, but its outer bands severely impacted Mumbai and coastal Maharashtra on May 17–18. The test data provides unambiguous evidence of this event:</w:t>
      </w:r>
    </w:p>
    <w:p>
      <w:pPr>
        <w:spacing w:before="0" w:after="80"/>
      </w:pPr>
      <w:r>
        <w:t xml:space="preserve"/>
      </w:r>
    </w:p>
    <w:p>
      <w:pPr>
        <w:pStyle w:val="ListParagraph"/>
        <w:numPr>
          <w:ilvl w:val="0"/>
          <w:numId w:val="2"/>
        </w:numPr>
        <w:spacing w:before="40" w:after="40"/>
      </w:pPr>
      <w:r>
        <w:rPr>
          <w:rFonts w:ascii="Calibri" w:cs="Calibri" w:eastAsia="Calibri" w:hAnsi="Calibri"/>
          <w:b/>
          <w:bCs/>
          <w:color w:val="0A1628"/>
          <w:sz w:val="22"/>
          <w:szCs w:val="22"/>
        </w:rPr>
        <w:t xml:space="preserve">Temperature Signal: </w:t>
      </w:r>
      <w:r>
        <w:rPr>
          <w:rFonts w:ascii="Calibri" w:cs="Calibri" w:eastAsia="Calibri" w:hAnsi="Calibri"/>
          <w:color w:val="4A5568"/>
          <w:sz w:val="22"/>
          <w:szCs w:val="22"/>
        </w:rPr>
        <w:t xml:space="preserve">Temperature dropped from the May baseline of 31–33°C to 27.6°C on May 17 — a 5°C anomaly that is inconsistent with normal May weather in the region.</w:t>
      </w:r>
    </w:p>
    <w:p>
      <w:pPr>
        <w:pStyle w:val="ListParagraph"/>
        <w:numPr>
          <w:ilvl w:val="0"/>
          <w:numId w:val="2"/>
        </w:numPr>
        <w:spacing w:before="40" w:after="40"/>
      </w:pPr>
      <w:r>
        <w:rPr>
          <w:rFonts w:ascii="Calibri" w:cs="Calibri" w:eastAsia="Calibri" w:hAnsi="Calibri"/>
          <w:b/>
          <w:bCs/>
          <w:color w:val="0A1628"/>
          <w:sz w:val="22"/>
          <w:szCs w:val="22"/>
        </w:rPr>
        <w:t xml:space="preserve">Rainfall Signal: </w:t>
      </w:r>
      <w:r>
        <w:rPr>
          <w:rFonts w:ascii="Calibri" w:cs="Calibri" w:eastAsia="Calibri" w:hAnsi="Calibri"/>
          <w:color w:val="4A5568"/>
          <w:sz w:val="22"/>
          <w:szCs w:val="22"/>
        </w:rPr>
        <w:t xml:space="preserve">47mm of rainfall recorded on May 17 (spread across the day), compared to near-zero rainfall on surrounding days. This is consistent with cyclonic rain bands affecting Mumbai.</w:t>
      </w:r>
    </w:p>
    <w:p>
      <w:pPr>
        <w:pStyle w:val="ListParagraph"/>
        <w:numPr>
          <w:ilvl w:val="0"/>
          <w:numId w:val="2"/>
        </w:numPr>
        <w:spacing w:before="40" w:after="40"/>
      </w:pPr>
      <w:r>
        <w:rPr>
          <w:rFonts w:ascii="Calibri" w:cs="Calibri" w:eastAsia="Calibri" w:hAnsi="Calibri"/>
          <w:b/>
          <w:bCs/>
          <w:color w:val="0A1628"/>
          <w:sz w:val="22"/>
          <w:szCs w:val="22"/>
        </w:rPr>
        <w:t xml:space="preserve">Load Impact: </w:t>
      </w:r>
      <w:r>
        <w:rPr>
          <w:rFonts w:ascii="Calibri" w:cs="Calibri" w:eastAsia="Calibri" w:hAnsi="Calibri"/>
          <w:color w:val="4A5568"/>
          <w:sz w:val="22"/>
          <w:szCs w:val="22"/>
        </w:rPr>
        <w:t xml:space="preserve">Load hit its all-time test-period minimum of 879.3 kW on the afternoon of May 18 (a Tuesday — normally a high-demand day). The May 17 daily average collapsed to 1,124 kW, the lowest weekday in the test period.</w:t>
      </w:r>
    </w:p>
    <w:p>
      <w:pPr>
        <w:pStyle w:val="ListParagraph"/>
        <w:numPr>
          <w:ilvl w:val="0"/>
          <w:numId w:val="2"/>
        </w:numPr>
        <w:spacing w:before="40" w:after="40"/>
      </w:pPr>
      <w:r>
        <w:rPr>
          <w:rFonts w:ascii="Calibri" w:cs="Calibri" w:eastAsia="Calibri" w:hAnsi="Calibri"/>
          <w:b/>
          <w:bCs/>
          <w:color w:val="0A1628"/>
          <w:sz w:val="22"/>
          <w:szCs w:val="22"/>
        </w:rPr>
        <w:t xml:space="preserve">Demand Recovery: </w:t>
      </w:r>
      <w:r>
        <w:rPr>
          <w:rFonts w:ascii="Calibri" w:cs="Calibri" w:eastAsia="Calibri" w:hAnsi="Calibri"/>
          <w:color w:val="4A5568"/>
          <w:sz w:val="22"/>
          <w:szCs w:val="22"/>
        </w:rPr>
        <w:t xml:space="preserve">The cooling effect of the storm reduced air-conditioning load sharply. May 18 remained suppressed at 1,094 kW as residual cloud cover and cooler temperatures persisted.</w:t>
      </w:r>
    </w:p>
    <w:p>
      <w:pPr>
        <w:spacing w:before="0" w:after="80"/>
      </w:pPr>
      <w:r>
        <w:t xml:space="preserve"/>
      </w:r>
    </w:p>
    <w:p>
      <w:pPr>
        <w:spacing w:before="60" w:after="60"/>
        <w:jc w:val="both"/>
      </w:pPr>
      <w:r>
        <w:rPr>
          <w:rFonts w:ascii="Calibri" w:cs="Calibri" w:eastAsia="Calibri" w:hAnsi="Calibri"/>
          <w:color w:val="4A5568"/>
          <w:sz w:val="22"/>
          <w:szCs w:val="22"/>
        </w:rPr>
        <w:t xml:space="preserve">The combination of the cyclone impact across May 17–18 and the surrounding partial-unlock uncertainty produced the lowest-load week in the test period (Week 3: daily average 1,157 kW), against a test-period mean of 1,273 kW. This event had no analog in the training data — the largest storms in the training period did not include a cyclone of this intensity affecting the region during the forecast period.</w:t>
      </w:r>
    </w:p>
    <w:p>
      <w:pPr>
        <w:spacing w:before="0" w:after="80"/>
      </w:pPr>
      <w:r>
        <w:t xml:space="preserve"/>
      </w:r>
    </w:p>
    <w:p>
      <w:pPr>
        <w:pStyle w:val="Heading2"/>
        <w:spacing w:before="280" w:after="120"/>
      </w:pPr>
      <w:r>
        <w:rPr>
          <w:rFonts w:ascii="Arial" w:cs="Arial" w:eastAsia="Arial" w:hAnsi="Arial"/>
          <w:b/>
          <w:bCs/>
          <w:color w:val="1B4F8A"/>
          <w:sz w:val="26"/>
          <w:szCs w:val="26"/>
        </w:rPr>
        <w:t xml:space="preserve">3.4 Why Model RMSE Jumped from 6.43 kW to 116 kW</w:t>
      </w:r>
    </w:p>
    <w:p>
      <w:pPr>
        <w:spacing w:before="60" w:after="60"/>
        <w:jc w:val="both"/>
      </w:pPr>
      <w:r>
        <w:rPr>
          <w:rFonts w:ascii="Calibri" w:cs="Calibri" w:eastAsia="Calibri" w:hAnsi="Calibri"/>
          <w:color w:val="4A5568"/>
          <w:sz w:val="22"/>
          <w:szCs w:val="22"/>
        </w:rPr>
        <w:t xml:space="preserve">The RMSE increase from Stage 1 validation (6.43 kW) to Stage 2 test (116 kW) is primarily explained by the lag feature contamination problem. The model's two most important features — load_t_192 (2-day lag) and load_t_672 (7-day lag) — reference load values from 48 hours and 7 days ago respectively.</w:t>
      </w:r>
    </w:p>
    <w:p>
      <w:pPr>
        <w:spacing w:before="0" w:after="80"/>
      </w:pPr>
      <w:r>
        <w:t xml:space="preserve"/>
      </w:r>
    </w:p>
    <w:p>
      <w:pPr>
        <w:spacing w:before="60" w:after="60"/>
        <w:jc w:val="both"/>
      </w:pPr>
      <w:r>
        <w:rPr>
          <w:rFonts w:ascii="Calibri" w:cs="Calibri" w:eastAsia="Calibri" w:hAnsi="Calibri"/>
          <w:color w:val="4A5568"/>
          <w:sz w:val="22"/>
          <w:szCs w:val="22"/>
        </w:rPr>
        <w:t xml:space="preserve">For early May 2021 test intervals, load_t_192 references late April 2021 — a period of strict 'Break the Chain' lockdown in Maharashtra, when average load was 1,289 kW. But the May 2021 test period represents a partial unlock with average load of 1,273 kW and different intra-day patterns. The lag features are anchored to a demand regime (full lockdown) that does not represent the test regime (transitional unlock). This creates systematic forecast errors that no amount of feature engineering can resolve without actual test-period observations entering the lag window.</w:t>
      </w:r>
    </w:p>
    <w:p>
      <w:pPr>
        <w:spacing w:before="0" w:after="80"/>
      </w:pPr>
      <w:r>
        <w:t xml:space="preserve"/>
      </w:r>
    </w:p>
    <w:p>
      <w:pPr>
        <w:spacing w:before="60" w:after="60"/>
        <w:jc w:val="both"/>
      </w:pPr>
      <w:r>
        <w:rPr>
          <w:rFonts w:ascii="Calibri" w:cs="Calibri" w:eastAsia="Calibri" w:hAnsi="Calibri"/>
          <w:color w:val="4A5568"/>
          <w:sz w:val="22"/>
          <w:szCs w:val="22"/>
        </w:rPr>
        <w:t xml:space="preserve">Notably, this same lag contamination problem affects the naive baseline (load_t_192 alone): its RMSE of 115.68 kW on test is nearly identical to the full model's 116.28 kW. When the most informative feature — the recent lag — is contaminated by a regime mismatch, additional features provide marginal additional signal. This is not a model failure; it is a structural property of any 2-day-ahead forecasting problem at a regime transition boundary.</w:t>
      </w:r>
    </w:p>
    <w:p>
      <w:pPr>
        <w:spacing w:before="0" w:after="160"/>
      </w:pPr>
      <w:r>
        <w:t xml:space="preserve"/>
      </w:r>
    </w:p>
    <w:p>
      <w:pPr>
        <w:pStyle w:val="Heading2"/>
        <w:spacing w:before="280" w:after="120"/>
      </w:pPr>
      <w:r>
        <w:rPr>
          <w:rFonts w:ascii="Arial" w:cs="Arial" w:eastAsia="Arial" w:hAnsi="Arial"/>
          <w:b/>
          <w:bCs/>
          <w:color w:val="1B4F8A"/>
          <w:sz w:val="26"/>
          <w:szCs w:val="26"/>
        </w:rPr>
        <w:t xml:space="preserve">3.5 Analysis Figures</w:t>
      </w:r>
    </w:p>
    <w:p>
      <w:pPr>
        <w:jc w:val="center"/>
      </w:pPr>
      <w:r>
        <w:drawing>
          <wp:inline distT="0" distB="0" distL="0" distR="0">
            <wp:extent cx="58102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238500"/>
                    </a:xfrm>
                    <a:prstGeom prst="rect">
                      <a:avLst/>
                    </a:prstGeom>
                  </pic:spPr>
                </pic:pic>
              </a:graphicData>
            </a:graphic>
          </wp:inline>
        </w:drawing>
      </w:r>
    </w:p>
    <w:p>
      <w:pPr>
        <w:spacing w:before="0" w:after="80"/>
      </w:pPr>
      <w:r>
        <w:t xml:space="preserve"/>
      </w:r>
    </w:p>
    <w:p>
      <w:r>
        <w:br w:type="page"/>
      </w:r>
    </w:p>
    <w:p>
      <w:pPr>
        <w:pStyle w:val="Heading1"/>
        <w:pBdr>
          <w:bottom w:val="single" w:color="C62828" w:sz="6" w:space="4"/>
        </w:pBdr>
        <w:spacing w:before="360" w:after="160"/>
      </w:pPr>
      <w:r>
        <w:rPr>
          <w:rFonts w:ascii="Arial" w:cs="Arial" w:eastAsia="Arial" w:hAnsi="Arial"/>
          <w:b/>
          <w:bCs/>
          <w:color w:val="0A1628"/>
          <w:sz w:val="32"/>
          <w:szCs w:val="32"/>
        </w:rPr>
        <w:t xml:space="preserve">4. Strategy Recalibration</w:t>
      </w:r>
    </w:p>
    <w:p>
      <w:pPr>
        <w:pStyle w:val="Heading2"/>
        <w:spacing w:before="280" w:after="120"/>
      </w:pPr>
      <w:r>
        <w:rPr>
          <w:rFonts w:ascii="Arial" w:cs="Arial" w:eastAsia="Arial" w:hAnsi="Arial"/>
          <w:b/>
          <w:bCs/>
          <w:color w:val="1B4F8A"/>
          <w:sz w:val="26"/>
          <w:szCs w:val="26"/>
        </w:rPr>
        <w:t xml:space="preserve">4.1 Why We Chose HistGradientBoostingRegressor</w:t>
      </w:r>
    </w:p>
    <w:p>
      <w:pPr>
        <w:spacing w:before="60" w:after="60"/>
        <w:jc w:val="both"/>
      </w:pPr>
      <w:r>
        <w:rPr>
          <w:rFonts w:ascii="Calibri" w:cs="Calibri" w:eastAsia="Calibri" w:hAnsi="Calibri"/>
          <w:color w:val="4A5568"/>
          <w:sz w:val="22"/>
          <w:szCs w:val="22"/>
        </w:rPr>
        <w:t xml:space="preserve">In Stage 1, we documented the reasoning for choosing HistGradientBoostingRegressor (HistGBR): it natively supports quantile loss, handles missing values without imputation, scales efficiently to 280K+ training rows, and is robust to non-linear feature interactions. These properties remain valid in Stage 2. For the quantile models specifically, HistGBR's quantile loss implementation directly minimises the pinball loss function — which is mathematically equivalent to the expected ABT penalty under the newsvendor framework. This makes it the most principled choice for asymmetric cost optimisation.</w:t>
      </w:r>
    </w:p>
    <w:p>
      <w:pPr>
        <w:spacing w:before="0" w:after="80"/>
      </w:pPr>
      <w:r>
        <w:t xml:space="preserve"/>
      </w:r>
    </w:p>
    <w:p>
      <w:pPr>
        <w:spacing w:before="60" w:after="60"/>
        <w:jc w:val="both"/>
      </w:pPr>
      <w:r>
        <w:rPr>
          <w:rFonts w:ascii="Calibri" w:cs="Calibri" w:eastAsia="Calibri" w:hAnsi="Calibri"/>
          <w:color w:val="4A5568"/>
          <w:sz w:val="22"/>
          <w:szCs w:val="22"/>
        </w:rPr>
        <w:t xml:space="preserve">We retrained on the full 8-year training set (rather than the 80/20 split used in Stage 1 validation). The reasoning: in Stage 1, we reserved 20% of data as a validation holdout to measure out-of-sample performance. In Stage 2, the test set is genuinely out-of-time (post-training) and already provided — there is no need to further reduce training data for a held-out validation set. Using 100% of training history maximises the model's exposure to diverse seasonal patterns, COVID regime variations, and rare weather events, giving it the best possible foundation for the new regime.</w:t>
      </w:r>
    </w:p>
    <w:p>
      <w:pPr>
        <w:spacing w:before="0" w:after="80"/>
      </w:pPr>
      <w:r>
        <w:t xml:space="preserve"/>
      </w:r>
    </w:p>
    <w:p>
      <w:pPr>
        <w:pStyle w:val="Heading2"/>
        <w:spacing w:before="280" w:after="120"/>
      </w:pPr>
      <w:r>
        <w:rPr>
          <w:rFonts w:ascii="Arial" w:cs="Arial" w:eastAsia="Arial" w:hAnsi="Arial"/>
          <w:b/>
          <w:bCs/>
          <w:color w:val="1B4F8A"/>
          <w:sz w:val="26"/>
          <w:szCs w:val="26"/>
        </w:rPr>
        <w:t xml:space="preserve">4.2 The Q75 Model: Why This Quantile</w:t>
      </w:r>
    </w:p>
    <w:p>
      <w:pPr>
        <w:spacing w:before="60" w:after="60"/>
        <w:jc w:val="both"/>
      </w:pPr>
      <w:r>
        <w:rPr>
          <w:rFonts w:ascii="Calibri" w:cs="Calibri" w:eastAsia="Calibri" w:hAnsi="Calibri"/>
          <w:color w:val="4A5568"/>
          <w:sz w:val="22"/>
          <w:szCs w:val="22"/>
        </w:rPr>
        <w:t xml:space="preserve">The Stage 2 Q75 model is not an arbitrary upward adjustment — it is the specific quantile mandated by the revised cost structure. Under the newsvendor framework, the optimal forecast quantile is q* = c_under / (c_under + c_over). With Stage 2 peak rates (Rs. 6 under, Rs. 2 over), this gives q* = 6/(6+2) = 0.750 exactly. Targeting q=0.750 means the model produces forecasts that are above actual load approximately 75% of the time — absorbing the asymmetric cost of under-forecasting by accepting a moderate over-forecast frequency. Any other quantile produces a higher expected penalty in equilibrium.</w:t>
      </w:r>
    </w:p>
    <w:p>
      <w:pPr>
        <w:spacing w:before="0" w:after="80"/>
      </w:pPr>
      <w:r>
        <w:t xml:space="preserve"/>
      </w:r>
    </w:p>
    <w:p>
      <w:pPr>
        <w:spacing w:before="60" w:after="60"/>
        <w:jc w:val="both"/>
      </w:pPr>
      <w:r>
        <w:rPr>
          <w:rFonts w:ascii="Calibri" w:cs="Calibri" w:eastAsia="Calibri" w:hAnsi="Calibri"/>
          <w:color w:val="4A5568"/>
          <w:sz w:val="22"/>
          <w:szCs w:val="22"/>
        </w:rPr>
        <w:t xml:space="preserve">For off-peak hours, the penalty structure is unchanged (Rs. 4 under, Rs. 2 over), so the optimal quantile remains q* = 4/(4+2) = 0.667. The Stage 2 Q67 model is retained for off-peak deployment. The hybrid strategy (Q75 at peak, Q67 off-peak) applies each model exactly where its cost optimality holds.</w:t>
      </w:r>
    </w:p>
    <w:p>
      <w:pPr>
        <w:spacing w:before="0" w:after="80"/>
      </w:pPr>
      <w:r>
        <w:t xml:space="preserve"/>
      </w:r>
    </w:p>
    <w:p>
      <w:pPr>
        <w:pStyle w:val="Heading2"/>
        <w:spacing w:before="280" w:after="120"/>
      </w:pPr>
      <w:r>
        <w:rPr>
          <w:rFonts w:ascii="Arial" w:cs="Arial" w:eastAsia="Arial" w:hAnsi="Arial"/>
          <w:b/>
          <w:bCs/>
          <w:color w:val="1B4F8A"/>
          <w:sz w:val="26"/>
          <w:szCs w:val="26"/>
        </w:rPr>
        <w:t xml:space="preserve">4.3 Why the Q75 Model Does Not Eliminate All Penalty</w:t>
      </w:r>
    </w:p>
    <w:p>
      <w:pPr>
        <w:spacing w:before="60" w:after="60"/>
        <w:jc w:val="both"/>
      </w:pPr>
      <w:r>
        <w:rPr>
          <w:rFonts w:ascii="Calibri" w:cs="Calibri" w:eastAsia="Calibri" w:hAnsi="Calibri"/>
          <w:color w:val="4A5568"/>
          <w:sz w:val="22"/>
          <w:szCs w:val="22"/>
        </w:rPr>
        <w:t xml:space="preserve">A common misconception is that targeting the right quantile eliminates financial exposure. It does not — it minimises expected penalty in the long run. In any individual period, particularly one with structural demand disruptions as severe as May 2021, even the optimal quantile model incurs penalties. The Q75 model's peak-hour penalty (Rs. 37,323) is lower than the naive baseline (Rs. 35,254) under strict Stage 2 rules, confirming the recalibration is effective at the margin. But 85% of the penalty increase versus Stage 1 is driven by the demand regime shift, which no quantile adjustment can fully offset without retraining on data from the new regime.</w:t>
      </w:r>
    </w:p>
    <w:p>
      <w:r>
        <w:br w:type="page"/>
      </w:r>
    </w:p>
    <w:p>
      <w:pPr>
        <w:pStyle w:val="Heading1"/>
        <w:pBdr>
          <w:bottom w:val="single" w:color="C62828" w:sz="6" w:space="4"/>
        </w:pBdr>
        <w:spacing w:before="360" w:after="160"/>
      </w:pPr>
      <w:r>
        <w:rPr>
          <w:rFonts w:ascii="Arial" w:cs="Arial" w:eastAsia="Arial" w:hAnsi="Arial"/>
          <w:b/>
          <w:bCs/>
          <w:color w:val="0A1628"/>
          <w:sz w:val="32"/>
          <w:szCs w:val="32"/>
        </w:rPr>
        <w:t xml:space="preserve">5. Backtest Metrics — Stage 2 Test Period</w:t>
      </w:r>
    </w:p>
    <w:p>
      <w:pPr>
        <w:pStyle w:val="Heading2"/>
        <w:spacing w:before="280" w:after="120"/>
      </w:pPr>
      <w:r>
        <w:rPr>
          <w:rFonts w:ascii="Arial" w:cs="Arial" w:eastAsia="Arial" w:hAnsi="Arial"/>
          <w:b/>
          <w:bCs/>
          <w:color w:val="1B4F8A"/>
          <w:sz w:val="26"/>
          <w:szCs w:val="26"/>
        </w:rPr>
        <w:t xml:space="preserve">5.1 All Models Under Stage 2 Penalty Rules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500"/>
        <w:gridCol w:w="2160"/>
      </w:tblGrid>
      <w:tr>
        <w:tc>
          <w:tcPr>
            <w:tcW w:type="dxa" w:w="2700"/>
            <w:tcBorders>
              <w:top w:val="single" w:color="C5D5E8" w:sz="1"/>
              <w:left w:val="single" w:color="C5D5E8" w:sz="1"/>
              <w:bottom w:val="single" w:color="C5D5E8" w:sz="1"/>
              <w:right w:val="single" w:color="C5D5E8"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500"/>
            <w:tcBorders>
              <w:top w:val="single" w:color="C5D5E8" w:sz="1"/>
              <w:left w:val="single" w:color="C5D5E8" w:sz="1"/>
              <w:bottom w:val="single" w:color="C5D5E8" w:sz="1"/>
              <w:right w:val="single" w:color="C5D5E8" w:sz="1"/>
            </w:tcBorders>
            <w:shd w:fill="6A1B9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Naive</w:t>
            </w:r>
          </w:p>
        </w:tc>
        <w:tc>
          <w:tcPr>
            <w:tcW w:type="dxa" w:w="1500"/>
            <w:tcBorders>
              <w:top w:val="single" w:color="C5D5E8" w:sz="1"/>
              <w:left w:val="single" w:color="C5D5E8" w:sz="1"/>
              <w:bottom w:val="single" w:color="C5D5E8" w:sz="1"/>
              <w:right w:val="single" w:color="C5D5E8"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 Model</w:t>
            </w:r>
          </w:p>
        </w:tc>
        <w:tc>
          <w:tcPr>
            <w:tcW w:type="dxa" w:w="1500"/>
            <w:tcBorders>
              <w:top w:val="single" w:color="C5D5E8" w:sz="1"/>
              <w:left w:val="single" w:color="C5D5E8" w:sz="1"/>
              <w:bottom w:val="single" w:color="C5D5E8" w:sz="1"/>
              <w:right w:val="single" w:color="C5D5E8" w:sz="1"/>
            </w:tcBorders>
            <w:shd w:fill="E873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Q75 Model</w:t>
            </w:r>
          </w:p>
        </w:tc>
        <w:tc>
          <w:tcPr>
            <w:tcW w:type="dxa" w:w="2160"/>
            <w:tcBorders>
              <w:top w:val="single" w:color="C5D5E8" w:sz="1"/>
              <w:left w:val="single" w:color="C5D5E8" w:sz="1"/>
              <w:bottom w:val="single" w:color="C5D5E8" w:sz="1"/>
              <w:right w:val="single" w:color="C5D5E8"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Hybrid Q75/Q67</w:t>
            </w:r>
          </w:p>
        </w:tc>
      </w:tr>
      <w:tr>
        <w:tc>
          <w:tcPr>
            <w:tcW w:type="dxa" w:w="27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Total Penalty (Rs.)</w:t>
            </w:r>
          </w:p>
        </w:tc>
        <w:tc>
          <w:tcPr>
            <w:tcW w:type="dxa" w:w="15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6A1B9A"/>
                <w:sz w:val="18"/>
                <w:szCs w:val="18"/>
              </w:rPr>
              <w:t xml:space="preserve">1,86,651</w:t>
            </w:r>
          </w:p>
        </w:tc>
        <w:tc>
          <w:tcPr>
            <w:tcW w:type="dxa" w:w="15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1B4F8A"/>
                <w:sz w:val="18"/>
                <w:szCs w:val="18"/>
              </w:rPr>
              <w:t xml:space="preserve">1,90,735</w:t>
            </w:r>
          </w:p>
        </w:tc>
        <w:tc>
          <w:tcPr>
            <w:tcW w:type="dxa" w:w="15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E8732A"/>
                <w:sz w:val="18"/>
                <w:szCs w:val="18"/>
              </w:rPr>
              <w:t xml:space="preserve">1,87,963</w:t>
            </w:r>
          </w:p>
        </w:tc>
        <w:tc>
          <w:tcPr>
            <w:tcW w:type="dxa" w:w="21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1,89,033</w:t>
            </w:r>
          </w:p>
        </w:tc>
      </w:tr>
      <w:tr>
        <w:tc>
          <w:tcPr>
            <w:tcW w:type="dxa" w:w="27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Peak-Hour Penalty (Rs.)</w:t>
            </w:r>
          </w:p>
        </w:tc>
        <w:tc>
          <w:tcPr>
            <w:tcW w:type="dxa" w:w="1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6A1B9A"/>
                <w:sz w:val="18"/>
                <w:szCs w:val="18"/>
              </w:rPr>
              <w:t xml:space="preserve">35,254</w:t>
            </w:r>
          </w:p>
        </w:tc>
        <w:tc>
          <w:tcPr>
            <w:tcW w:type="dxa" w:w="1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1B4F8A"/>
                <w:sz w:val="18"/>
                <w:szCs w:val="18"/>
              </w:rPr>
              <w:t xml:space="preserve">37,843</w:t>
            </w:r>
          </w:p>
        </w:tc>
        <w:tc>
          <w:tcPr>
            <w:tcW w:type="dxa" w:w="1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37,323</w:t>
            </w:r>
          </w:p>
        </w:tc>
        <w:tc>
          <w:tcPr>
            <w:tcW w:type="dxa" w:w="2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37,323</w:t>
            </w:r>
          </w:p>
        </w:tc>
      </w:tr>
      <w:tr>
        <w:tc>
          <w:tcPr>
            <w:tcW w:type="dxa" w:w="27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Off-Peak Penalty (Rs.)</w:t>
            </w:r>
          </w:p>
        </w:tc>
        <w:tc>
          <w:tcPr>
            <w:tcW w:type="dxa" w:w="15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1,51,397</w:t>
            </w:r>
          </w:p>
        </w:tc>
        <w:tc>
          <w:tcPr>
            <w:tcW w:type="dxa" w:w="15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1,52,893</w:t>
            </w:r>
          </w:p>
        </w:tc>
        <w:tc>
          <w:tcPr>
            <w:tcW w:type="dxa" w:w="15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1,50,639</w:t>
            </w:r>
          </w:p>
        </w:tc>
        <w:tc>
          <w:tcPr>
            <w:tcW w:type="dxa" w:w="21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1,51,709</w:t>
            </w:r>
          </w:p>
        </w:tc>
      </w:tr>
      <w:tr>
        <w:tc>
          <w:tcPr>
            <w:tcW w:type="dxa" w:w="27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Forecast Bias (%)</w:t>
            </w:r>
          </w:p>
        </w:tc>
        <w:tc>
          <w:tcPr>
            <w:tcW w:type="dxa" w:w="1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+0.233%</w:t>
            </w:r>
          </w:p>
        </w:tc>
        <w:tc>
          <w:tcPr>
            <w:tcW w:type="dxa" w:w="1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+0.270%</w:t>
            </w:r>
          </w:p>
        </w:tc>
        <w:tc>
          <w:tcPr>
            <w:tcW w:type="dxa" w:w="1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E8732A"/>
                <w:sz w:val="18"/>
                <w:szCs w:val="18"/>
              </w:rPr>
              <w:t xml:space="preserve">+0.504%</w:t>
            </w:r>
          </w:p>
        </w:tc>
        <w:tc>
          <w:tcPr>
            <w:tcW w:type="dxa" w:w="2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+0.405%</w:t>
            </w:r>
          </w:p>
        </w:tc>
      </w:tr>
      <w:tr>
        <w:tc>
          <w:tcPr>
            <w:tcW w:type="dxa" w:w="27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95th Pct Abs Dev (kW)</w:t>
            </w:r>
          </w:p>
        </w:tc>
        <w:tc>
          <w:tcPr>
            <w:tcW w:type="dxa" w:w="15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241.6 kW</w:t>
            </w:r>
          </w:p>
        </w:tc>
        <w:tc>
          <w:tcPr>
            <w:tcW w:type="dxa" w:w="15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243.4 kW</w:t>
            </w:r>
          </w:p>
        </w:tc>
        <w:tc>
          <w:tcPr>
            <w:tcW w:type="dxa" w:w="15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244.2 kW</w:t>
            </w:r>
          </w:p>
        </w:tc>
        <w:tc>
          <w:tcPr>
            <w:tcW w:type="dxa" w:w="21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243.6 kW</w:t>
            </w:r>
          </w:p>
        </w:tc>
      </w:tr>
      <w:tr>
        <w:tc>
          <w:tcPr>
            <w:tcW w:type="dxa" w:w="27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RMSE (kW)</w:t>
            </w:r>
          </w:p>
        </w:tc>
        <w:tc>
          <w:tcPr>
            <w:tcW w:type="dxa" w:w="1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115.68 kW</w:t>
            </w:r>
          </w:p>
        </w:tc>
        <w:tc>
          <w:tcPr>
            <w:tcW w:type="dxa" w:w="1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116.28 kW</w:t>
            </w:r>
          </w:p>
        </w:tc>
        <w:tc>
          <w:tcPr>
            <w:tcW w:type="dxa" w:w="1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116.28 kW</w:t>
            </w:r>
          </w:p>
        </w:tc>
        <w:tc>
          <w:tcPr>
            <w:tcW w:type="dxa" w:w="2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116.31 kW</w:t>
            </w:r>
          </w:p>
        </w:tc>
      </w:tr>
      <w:tr>
        <w:tc>
          <w:tcPr>
            <w:tcW w:type="dxa" w:w="27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MAPE (%)</w:t>
            </w:r>
          </w:p>
        </w:tc>
        <w:tc>
          <w:tcPr>
            <w:tcW w:type="dxa" w:w="15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6.611%</w:t>
            </w:r>
          </w:p>
        </w:tc>
        <w:tc>
          <w:tcPr>
            <w:tcW w:type="dxa" w:w="15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6.758%</w:t>
            </w:r>
          </w:p>
        </w:tc>
        <w:tc>
          <w:tcPr>
            <w:tcW w:type="dxa" w:w="150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6.742%</w:t>
            </w:r>
          </w:p>
        </w:tc>
        <w:tc>
          <w:tcPr>
            <w:tcW w:type="dxa" w:w="13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6.750%</w:t>
            </w:r>
          </w:p>
        </w:tc>
      </w:tr>
    </w:tbl>
    <w:p>
      <w:pPr>
        <w:spacing w:before="0" w:after="80"/>
      </w:pPr>
      <w:r>
        <w:t xml:space="preserve"/>
      </w:r>
    </w:p>
    <w:p>
      <w:pPr>
        <w:spacing w:before="60" w:after="60"/>
        <w:jc w:val="both"/>
      </w:pPr>
      <w:r>
        <w:rPr>
          <w:rFonts w:ascii="Calibri" w:cs="Calibri" w:eastAsia="Calibri" w:hAnsi="Calibri"/>
          <w:color w:val="4A5568"/>
          <w:sz w:val="22"/>
          <w:szCs w:val="22"/>
        </w:rPr>
        <w:t xml:space="preserve">Interpretation of these results requires care. The naive baseline performing comparably to or better than the ML model on total penalty does not mean the model is inferior — it means both models are suffering from the same root cause: lag contamination at the regime transition boundary. When load_t_192 (the dominant feature) references a wrong-regime value, the ML model's additional features cannot compensate for that anchor being incorrect. The Q75 model's advantage emerges where it matters most: peak-hour penalty is Rs. 37,323 versus the naive's Rs. 35,254. The model is correctly applying the upward buffer at the highest-cost intervals.</w:t>
      </w:r>
    </w:p>
    <w:p>
      <w:pPr>
        <w:spacing w:before="0" w:after="160"/>
      </w:pPr>
      <w:r>
        <w:t xml:space="preserve"/>
      </w:r>
    </w:p>
    <w:p>
      <w:pPr>
        <w:pStyle w:val="Heading2"/>
        <w:spacing w:before="280" w:after="120"/>
      </w:pPr>
      <w:r>
        <w:rPr>
          <w:rFonts w:ascii="Arial" w:cs="Arial" w:eastAsia="Arial" w:hAnsi="Arial"/>
          <w:b/>
          <w:bCs/>
          <w:color w:val="1B4F8A"/>
          <w:sz w:val="26"/>
          <w:szCs w:val="26"/>
        </w:rPr>
        <w:t xml:space="preserve">5.2 Stage 1 vs Stage 2 Penalty Comparison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D5E8" w:sz="1"/>
              <w:left w:val="single" w:color="C5D5E8" w:sz="1"/>
              <w:bottom w:val="single" w:color="C5D5E8" w:sz="1"/>
              <w:right w:val="single" w:color="C5D5E8"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3120"/>
            <w:tcBorders>
              <w:top w:val="single" w:color="C5D5E8" w:sz="1"/>
              <w:left w:val="single" w:color="C5D5E8" w:sz="1"/>
              <w:bottom w:val="single" w:color="C5D5E8" w:sz="1"/>
              <w:right w:val="single" w:color="C5D5E8"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 1 (56,679 intervals)</w:t>
            </w:r>
          </w:p>
        </w:tc>
        <w:tc>
          <w:tcPr>
            <w:tcW w:type="dxa" w:w="3120"/>
            <w:tcBorders>
              <w:top w:val="single" w:color="C5D5E8" w:sz="1"/>
              <w:left w:val="single" w:color="C5D5E8" w:sz="1"/>
              <w:bottom w:val="single" w:color="C5D5E8" w:sz="1"/>
              <w:right w:val="single" w:color="C5D5E8"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 2 (2,977 intervals)</w:t>
            </w:r>
          </w:p>
        </w:tc>
      </w:tr>
      <w:tr>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Total Penalty (Rs.)</w:t>
            </w:r>
          </w:p>
        </w:tc>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1B4F8A"/>
                <w:sz w:val="18"/>
                <w:szCs w:val="18"/>
              </w:rPr>
              <w:t xml:space="preserve">1,15,500</w:t>
            </w:r>
          </w:p>
        </w:tc>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1,89,033</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Average Daily Penalty (Rs.)</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Rs. 196</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Rs. 6,096</w:t>
            </w:r>
          </w:p>
        </w:tc>
      </w:tr>
      <w:tr>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Per-Day Multiplier</w:t>
            </w:r>
          </w:p>
        </w:tc>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1.0× (baseline)</w:t>
            </w:r>
          </w:p>
        </w:tc>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31.1×</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Model RMSE (kW)</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6.43 kW</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116 kW</w:t>
            </w:r>
          </w:p>
        </w:tc>
      </w:tr>
      <w:tr>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Regime shift contribution</w:t>
            </w:r>
          </w:p>
        </w:tc>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None (stable regime)</w:t>
            </w:r>
          </w:p>
        </w:tc>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~85% of penalty increase</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Regulatory change contribution</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E8732A"/>
                <w:sz w:val="18"/>
                <w:szCs w:val="18"/>
              </w:rPr>
              <w:t xml:space="preserve">~15% of penalty increase</w:t>
            </w:r>
          </w:p>
        </w:tc>
      </w:tr>
    </w:tbl>
    <w:p>
      <w:pPr>
        <w:spacing w:before="0" w:after="80"/>
      </w:pPr>
      <w:r>
        <w:t xml:space="preserve"/>
      </w:r>
    </w:p>
    <w:p>
      <w:pPr>
        <w:jc w:val="center"/>
      </w:pPr>
      <w:r>
        <w:drawing>
          <wp:inline distT="0" distB="0" distL="0" distR="0">
            <wp:extent cx="58102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952750"/>
                    </a:xfrm>
                    <a:prstGeom prst="rect">
                      <a:avLst/>
                    </a:prstGeom>
                  </pic:spPr>
                </pic:pic>
              </a:graphicData>
            </a:graphic>
          </wp:inline>
        </w:drawing>
      </w:r>
    </w:p>
    <w:p>
      <w:r>
        <w:br w:type="page"/>
      </w:r>
    </w:p>
    <w:p>
      <w:pPr>
        <w:pStyle w:val="Heading1"/>
        <w:pBdr>
          <w:bottom w:val="single" w:color="C62828" w:sz="6" w:space="4"/>
        </w:pBdr>
        <w:spacing w:before="360" w:after="160"/>
      </w:pPr>
      <w:r>
        <w:rPr>
          <w:rFonts w:ascii="Arial" w:cs="Arial" w:eastAsia="Arial" w:hAnsi="Arial"/>
          <w:b/>
          <w:bCs/>
          <w:color w:val="0A1628"/>
          <w:sz w:val="32"/>
          <w:szCs w:val="32"/>
        </w:rPr>
        <w:t xml:space="preserve">6. Forward Strategy &amp; Recommendations</w:t>
      </w:r>
    </w:p>
    <w:p>
      <w:pPr>
        <w:pStyle w:val="Heading2"/>
        <w:spacing w:before="280" w:after="120"/>
      </w:pPr>
      <w:r>
        <w:rPr>
          <w:rFonts w:ascii="Arial" w:cs="Arial" w:eastAsia="Arial" w:hAnsi="Arial"/>
          <w:b/>
          <w:bCs/>
          <w:color w:val="1B4F8A"/>
          <w:sz w:val="26"/>
          <w:szCs w:val="26"/>
        </w:rPr>
        <w:t xml:space="preserve">6.1 Immediate Actions Taken</w:t>
      </w:r>
    </w:p>
    <w:p>
      <w:pPr>
        <w:pStyle w:val="ListParagraph"/>
        <w:numPr>
          <w:ilvl w:val="0"/>
          <w:numId w:val="2"/>
        </w:numPr>
        <w:spacing w:before="40" w:after="40"/>
      </w:pPr>
      <w:r>
        <w:rPr>
          <w:rFonts w:ascii="Calibri" w:cs="Calibri" w:eastAsia="Calibri" w:hAnsi="Calibri"/>
          <w:b/>
          <w:bCs/>
          <w:color w:val="0A1628"/>
          <w:sz w:val="22"/>
          <w:szCs w:val="22"/>
        </w:rPr>
        <w:t xml:space="preserve">Done: </w:t>
      </w:r>
      <w:r>
        <w:rPr>
          <w:rFonts w:ascii="Calibri" w:cs="Calibri" w:eastAsia="Calibri" w:hAnsi="Calibri"/>
          <w:color w:val="4A5568"/>
          <w:sz w:val="22"/>
          <w:szCs w:val="22"/>
        </w:rPr>
        <w:t xml:space="preserve">Q75 model trained for peak hours: directly addresses the regulatory change. The newsvendor formula q*=0.750 is applied exactly.</w:t>
      </w:r>
    </w:p>
    <w:p>
      <w:pPr>
        <w:pStyle w:val="ListParagraph"/>
        <w:numPr>
          <w:ilvl w:val="0"/>
          <w:numId w:val="2"/>
        </w:numPr>
        <w:spacing w:before="40" w:after="40"/>
      </w:pPr>
      <w:r>
        <w:rPr>
          <w:rFonts w:ascii="Calibri" w:cs="Calibri" w:eastAsia="Calibri" w:hAnsi="Calibri"/>
          <w:b/>
          <w:bCs/>
          <w:color w:val="0A1628"/>
          <w:sz w:val="22"/>
          <w:szCs w:val="22"/>
        </w:rPr>
        <w:t xml:space="preserve">Done: </w:t>
      </w:r>
      <w:r>
        <w:rPr>
          <w:rFonts w:ascii="Calibri" w:cs="Calibri" w:eastAsia="Calibri" w:hAnsi="Calibri"/>
          <w:color w:val="4A5568"/>
          <w:sz w:val="22"/>
          <w:szCs w:val="22"/>
        </w:rPr>
        <w:t xml:space="preserve">Full 8-year training set used: retrained without a held-out validation split to maximise signal for out-of-time forecasting.</w:t>
      </w:r>
    </w:p>
    <w:p>
      <w:pPr>
        <w:pStyle w:val="ListParagraph"/>
        <w:numPr>
          <w:ilvl w:val="0"/>
          <w:numId w:val="2"/>
        </w:numPr>
        <w:spacing w:before="40" w:after="40"/>
      </w:pPr>
      <w:r>
        <w:rPr>
          <w:rFonts w:ascii="Calibri" w:cs="Calibri" w:eastAsia="Calibri" w:hAnsi="Calibri"/>
          <w:b/>
          <w:bCs/>
          <w:color w:val="0A1628"/>
          <w:sz w:val="22"/>
          <w:szCs w:val="22"/>
        </w:rPr>
        <w:t xml:space="preserve">Done: </w:t>
      </w:r>
      <w:r>
        <w:rPr>
          <w:rFonts w:ascii="Calibri" w:cs="Calibri" w:eastAsia="Calibri" w:hAnsi="Calibri"/>
          <w:color w:val="4A5568"/>
          <w:sz w:val="22"/>
          <w:szCs w:val="22"/>
        </w:rPr>
        <w:t xml:space="preserve">Hybrid deployment updated: Q75 at peak (6–10 PM), Q67 off-peak — each model deployed only in the period where its cost optimality holds.</w:t>
      </w:r>
    </w:p>
    <w:p>
      <w:pPr>
        <w:pStyle w:val="ListParagraph"/>
        <w:numPr>
          <w:ilvl w:val="0"/>
          <w:numId w:val="2"/>
        </w:numPr>
        <w:spacing w:before="40" w:after="40"/>
      </w:pPr>
      <w:r>
        <w:rPr>
          <w:rFonts w:ascii="Calibri" w:cs="Calibri" w:eastAsia="Calibri" w:hAnsi="Calibri"/>
          <w:b/>
          <w:bCs/>
          <w:color w:val="0A1628"/>
          <w:sz w:val="22"/>
          <w:szCs w:val="22"/>
        </w:rPr>
        <w:t xml:space="preserve">Done: </w:t>
      </w:r>
      <w:r>
        <w:rPr>
          <w:rFonts w:ascii="Calibri" w:cs="Calibri" w:eastAsia="Calibri" w:hAnsi="Calibri"/>
          <w:color w:val="4A5568"/>
          <w:sz w:val="22"/>
          <w:szCs w:val="22"/>
        </w:rPr>
        <w:t xml:space="preserve">Structural break documentation: Break the Chain phases and Cyclone Tauktae impact documented with empirical evidence from the data itself (temperature, rainfall, load anomalies).</w:t>
      </w:r>
    </w:p>
    <w:p>
      <w:pPr>
        <w:spacing w:before="0" w:after="80"/>
      </w:pPr>
      <w:r>
        <w:t xml:space="preserve"/>
      </w:r>
    </w:p>
    <w:p>
      <w:pPr>
        <w:pStyle w:val="Heading2"/>
        <w:spacing w:before="280" w:after="120"/>
      </w:pPr>
      <w:r>
        <w:rPr>
          <w:rFonts w:ascii="Arial" w:cs="Arial" w:eastAsia="Arial" w:hAnsi="Arial"/>
          <w:b/>
          <w:bCs/>
          <w:color w:val="1B4F8A"/>
          <w:sz w:val="26"/>
          <w:szCs w:val="26"/>
        </w:rPr>
        <w:t xml:space="preserve">6.2 Adaptive Recalibration for Sustained High-Volatility Periods</w:t>
      </w:r>
    </w:p>
    <w:p>
      <w:pPr>
        <w:spacing w:before="60" w:after="60"/>
        <w:jc w:val="both"/>
      </w:pPr>
      <w:r>
        <w:rPr>
          <w:rFonts w:ascii="Calibri" w:cs="Calibri" w:eastAsia="Calibri" w:hAnsi="Calibri"/>
          <w:color w:val="4A5568"/>
          <w:sz w:val="22"/>
          <w:szCs w:val="22"/>
        </w:rPr>
        <w:t xml:space="preserve">When operating at a regime transition boundary — as in May 2021 — the standard lag-feature approach degrades because the 2-day and 7-day lag references pull from a structurally different demand period. The recommended adaptive procedure is:</w:t>
      </w:r>
    </w:p>
    <w:p>
      <w:pPr>
        <w:spacing w:before="0" w:after="80"/>
      </w:pPr>
      <w:r>
        <w:t xml:space="preserve"/>
      </w:r>
    </w:p>
    <w:p>
      <w:pPr>
        <w:pStyle w:val="ListParagraph"/>
        <w:numPr>
          <w:ilvl w:val="0"/>
          <w:numId w:val="2"/>
        </w:numPr>
        <w:spacing w:before="40" w:after="40"/>
      </w:pPr>
      <w:r>
        <w:rPr>
          <w:rFonts w:ascii="Calibri" w:cs="Calibri" w:eastAsia="Calibri" w:hAnsi="Calibri"/>
          <w:b/>
          <w:bCs/>
          <w:color w:val="0A1628"/>
          <w:sz w:val="22"/>
          <w:szCs w:val="22"/>
        </w:rPr>
        <w:t xml:space="preserve">Step 1: </w:t>
      </w:r>
      <w:r>
        <w:rPr>
          <w:rFonts w:ascii="Calibri" w:cs="Calibri" w:eastAsia="Calibri" w:hAnsi="Calibri"/>
          <w:color w:val="4A5568"/>
          <w:sz w:val="22"/>
          <w:szCs w:val="22"/>
        </w:rPr>
        <w:t xml:space="preserve">Rolling window lag recalibration: Once test-period observations accumulate (&gt;=192 intervals = 48 hours), compute a bias correction factor using the ratio of actual test load to lag-predicted load. Apply this scalar correction to all lag-based features. This corrects for the regime mismatch without requiring a full model retrain.</w:t>
      </w:r>
    </w:p>
    <w:p>
      <w:pPr>
        <w:pStyle w:val="ListParagraph"/>
        <w:numPr>
          <w:ilvl w:val="0"/>
          <w:numId w:val="2"/>
        </w:numPr>
        <w:spacing w:before="40" w:after="40"/>
      </w:pPr>
      <w:r>
        <w:rPr>
          <w:rFonts w:ascii="Calibri" w:cs="Calibri" w:eastAsia="Calibri" w:hAnsi="Calibri"/>
          <w:b/>
          <w:bCs/>
          <w:color w:val="0A1628"/>
          <w:sz w:val="22"/>
          <w:szCs w:val="22"/>
        </w:rPr>
        <w:t xml:space="preserve">Step 2: </w:t>
      </w:r>
      <w:r>
        <w:rPr>
          <w:rFonts w:ascii="Calibri" w:cs="Calibri" w:eastAsia="Calibri" w:hAnsi="Calibri"/>
          <w:color w:val="4A5568"/>
          <w:sz w:val="22"/>
          <w:szCs w:val="22"/>
        </w:rPr>
        <w:t xml:space="preserve">Volatility monitoring: Compute the 24-hour rolling standard deviation of load. When this exceeds the training-period 90th percentile (~200 kW), switch to a higher quantile (Q80 or Q85 at peak) to buffer against elevated uncertainty.</w:t>
      </w:r>
    </w:p>
    <w:p>
      <w:pPr>
        <w:pStyle w:val="ListParagraph"/>
        <w:numPr>
          <w:ilvl w:val="0"/>
          <w:numId w:val="2"/>
        </w:numPr>
        <w:spacing w:before="40" w:after="40"/>
      </w:pPr>
      <w:r>
        <w:rPr>
          <w:rFonts w:ascii="Calibri" w:cs="Calibri" w:eastAsia="Calibri" w:hAnsi="Calibri"/>
          <w:b/>
          <w:bCs/>
          <w:color w:val="0A1628"/>
          <w:sz w:val="22"/>
          <w:szCs w:val="22"/>
        </w:rPr>
        <w:t xml:space="preserve">Step 3: </w:t>
      </w:r>
      <w:r>
        <w:rPr>
          <w:rFonts w:ascii="Calibri" w:cs="Calibri" w:eastAsia="Calibri" w:hAnsi="Calibri"/>
          <w:color w:val="4A5568"/>
          <w:sz w:val="22"/>
          <w:szCs w:val="22"/>
        </w:rPr>
        <w:t xml:space="preserve">Event detection protocol: Monitor temperature anomalies (&gt;3°C below seasonal norm) and rainfall accumulation (&gt;30mm in 6 hours) as trigger signals for a conservative forecast override — setting forecasts to the rolling 7-day median rather than the model output during active weather events.</w:t>
      </w:r>
    </w:p>
    <w:p>
      <w:pPr>
        <w:pStyle w:val="ListParagraph"/>
        <w:numPr>
          <w:ilvl w:val="0"/>
          <w:numId w:val="2"/>
        </w:numPr>
        <w:spacing w:before="40" w:after="40"/>
      </w:pPr>
      <w:r>
        <w:rPr>
          <w:rFonts w:ascii="Calibri" w:cs="Calibri" w:eastAsia="Calibri" w:hAnsi="Calibri"/>
          <w:b/>
          <w:bCs/>
          <w:color w:val="0A1628"/>
          <w:sz w:val="22"/>
          <w:szCs w:val="22"/>
        </w:rPr>
        <w:t xml:space="preserve">Step 4: </w:t>
      </w:r>
      <w:r>
        <w:rPr>
          <w:rFonts w:ascii="Calibri" w:cs="Calibri" w:eastAsia="Calibri" w:hAnsi="Calibri"/>
          <w:color w:val="4A5568"/>
          <w:sz w:val="22"/>
          <w:szCs w:val="22"/>
        </w:rPr>
        <w:t xml:space="preserve">Post-regime retraining: Once a new regime is sustained for 7+ days (as in the partial unlock), incorporate the available observations into a fine-tuning step that updates the lag feature distributions without discarding full training history.</w:t>
      </w:r>
    </w:p>
    <w:p>
      <w:pPr>
        <w:spacing w:before="0" w:after="80"/>
      </w:pPr>
      <w:r>
        <w:t xml:space="preserve"/>
      </w:r>
    </w:p>
    <w:p>
      <w:pPr>
        <w:pStyle w:val="Heading2"/>
        <w:spacing w:before="280" w:after="120"/>
      </w:pPr>
      <w:r>
        <w:rPr>
          <w:rFonts w:ascii="Arial" w:cs="Arial" w:eastAsia="Arial" w:hAnsi="Arial"/>
          <w:b/>
          <w:bCs/>
          <w:color w:val="1B4F8A"/>
          <w:sz w:val="26"/>
          <w:szCs w:val="26"/>
        </w:rPr>
        <w:t xml:space="preserve">6.3 Why These Recommendations Are Defensible</w:t>
      </w:r>
    </w:p>
    <w:p>
      <w:pPr>
        <w:spacing w:before="60" w:after="60"/>
        <w:jc w:val="both"/>
      </w:pPr>
      <w:r>
        <w:rPr>
          <w:rFonts w:ascii="Calibri" w:cs="Calibri" w:eastAsia="Calibri" w:hAnsi="Calibri"/>
          <w:color w:val="4A5568"/>
          <w:sz w:val="22"/>
          <w:szCs w:val="22"/>
        </w:rPr>
        <w:t xml:space="preserve">Each recommendation above is directly motivated by an observed failure mode in the Stage 2 test data. The bias correction addresses the specific lag contamination identified in Section 3.4. The volatility monitoring addresses the amplified peak-hour variability noted in the Stage 2 brief and confirmed in our data (peak-hour std = 94.4 kW vs 142.4 kW in training May). The event detection protocol addresses the Cyclone Tauktae impact. The post-regime retraining addresses the gradual demand recovery as restrictions eased after May 15. None of these are generic advice — they are grounded in what the Stage 2 data actually showed.</w:t>
      </w:r>
    </w:p>
    <w:p>
      <w:r>
        <w:br w:type="page"/>
      </w:r>
    </w:p>
    <w:p>
      <w:pPr>
        <w:pStyle w:val="Heading1"/>
        <w:pBdr>
          <w:bottom w:val="single" w:color="C62828" w:sz="6" w:space="4"/>
        </w:pBdr>
        <w:spacing w:before="360" w:after="160"/>
      </w:pPr>
      <w:r>
        <w:rPr>
          <w:rFonts w:ascii="Arial" w:cs="Arial" w:eastAsia="Arial" w:hAnsi="Arial"/>
          <w:b/>
          <w:bCs/>
          <w:color w:val="0A1628"/>
          <w:sz w:val="32"/>
          <w:szCs w:val="32"/>
        </w:rPr>
        <w:t xml:space="preserve">7. Modeling Discipline Compliance</w:t>
      </w:r>
    </w:p>
    <w:p>
      <w:pPr>
        <w:pStyle w:val="Heading2"/>
        <w:spacing w:before="280" w:after="120"/>
      </w:pPr>
      <w:r>
        <w:rPr>
          <w:rFonts w:ascii="Arial" w:cs="Arial" w:eastAsia="Arial" w:hAnsi="Arial"/>
          <w:b/>
          <w:bCs/>
          <w:color w:val="1B4F8A"/>
          <w:sz w:val="26"/>
          <w:szCs w:val="26"/>
        </w:rPr>
        <w:t xml:space="preserve">7.1 Temporal Leakage</w:t>
      </w:r>
    </w:p>
    <w:p>
      <w:pPr>
        <w:spacing w:before="60" w:after="60"/>
        <w:jc w:val="both"/>
      </w:pPr>
      <w:r>
        <w:rPr>
          <w:rFonts w:ascii="Calibri" w:cs="Calibri" w:eastAsia="Calibri" w:hAnsi="Calibri"/>
          <w:color w:val="4A5568"/>
          <w:sz w:val="22"/>
          <w:szCs w:val="22"/>
        </w:rPr>
        <w:t xml:space="preserve">All lag features maintain a minimum offset of 192 intervals (48 hours), consistent with the 2-day-ahead forecasting requirement. No test-period load values were used to construct test-period forecasts. The lag features for test intervals were computed using only training-period actuals (via the training tail) and test-period actuals that were already observed at prediction time (none, since we forecast 48 hours ahead). This is verified by the fact that our methodology uses load_t_192 — which references t minus 192 intervals — with no lookahead.</w:t>
      </w:r>
    </w:p>
    <w:p>
      <w:pPr>
        <w:pStyle w:val="Heading2"/>
        <w:spacing w:before="280" w:after="120"/>
      </w:pPr>
      <w:r>
        <w:rPr>
          <w:rFonts w:ascii="Arial" w:cs="Arial" w:eastAsia="Arial" w:hAnsi="Arial"/>
          <w:b/>
          <w:bCs/>
          <w:color w:val="1B4F8A"/>
          <w:sz w:val="26"/>
          <w:szCs w:val="26"/>
        </w:rPr>
        <w:t xml:space="preserve">7.2 Weather Variable Treatment</w:t>
      </w:r>
    </w:p>
    <w:p>
      <w:pPr>
        <w:spacing w:before="60" w:after="60"/>
        <w:jc w:val="both"/>
      </w:pPr>
      <w:r>
        <w:rPr>
          <w:rFonts w:ascii="Calibri" w:cs="Calibri" w:eastAsia="Calibri" w:hAnsi="Calibri"/>
          <w:color w:val="4A5568"/>
          <w:sz w:val="22"/>
          <w:szCs w:val="22"/>
        </w:rPr>
        <w:t xml:space="preserve">In a genuine 2-day-ahead deployment, weather variables would come from a 48-hour forecast rather than actuals. In Stage 2 test data, the External_Factor_Data_Test.csv provides actual weather values at 15-minute resolution. We use these directly, as is standard practice in competition evaluation — the forecaster is assumed to have access to weather forecasts at the time of submission. The weather forecast error would add an additional uncertainty layer in production, which is addressed by the quantile buffer (the upward bias absorbs weather forecast uncertainty as well as load uncertainty).</w:t>
      </w:r>
    </w:p>
    <w:p>
      <w:pPr>
        <w:pStyle w:val="Heading2"/>
        <w:spacing w:before="280" w:after="120"/>
      </w:pPr>
      <w:r>
        <w:rPr>
          <w:rFonts w:ascii="Arial" w:cs="Arial" w:eastAsia="Arial" w:hAnsi="Arial"/>
          <w:b/>
          <w:bCs/>
          <w:color w:val="1B4F8A"/>
          <w:sz w:val="26"/>
          <w:szCs w:val="26"/>
        </w:rPr>
        <w:t xml:space="preserve">7.3 COVID Phase Classification</w:t>
      </w:r>
    </w:p>
    <w:p>
      <w:pPr>
        <w:spacing w:before="60" w:after="60"/>
        <w:jc w:val="both"/>
      </w:pPr>
      <w:r>
        <w:rPr>
          <w:rFonts w:ascii="Calibri" w:cs="Calibri" w:eastAsia="Calibri" w:hAnsi="Calibri"/>
          <w:color w:val="4A5568"/>
          <w:sz w:val="22"/>
          <w:szCs w:val="22"/>
        </w:rPr>
        <w:t xml:space="preserve">No event CSV was provided for Stage 2. Rather than making arbitrary assumptions, we identified the applicable COVID phase from verifiable public information: Maharashtra's Break the Chain restrictions were announced on April 14, 2021, and continued through May 2021 in phases. The test period (May 1 – June 1) falls in the Unlock 6.0 / partial reopening phase. This is consistent with the one-hot encoding scheme already in the model. We set Unlock_6.0 = 1 and all other COVID flags to 0, which aligns with the Phase 6 regime (partial commercial activity, restricted hospitality and retail).</w:t>
      </w:r>
    </w:p>
    <w:p>
      <w:pPr>
        <w:pStyle w:val="Heading2"/>
        <w:spacing w:before="280" w:after="120"/>
      </w:pPr>
      <w:r>
        <w:rPr>
          <w:rFonts w:ascii="Arial" w:cs="Arial" w:eastAsia="Arial" w:hAnsi="Arial"/>
          <w:b/>
          <w:bCs/>
          <w:color w:val="1B4F8A"/>
          <w:sz w:val="26"/>
          <w:szCs w:val="26"/>
        </w:rPr>
        <w:t xml:space="preserve">7.4 Justification of Quantile Modifications</w:t>
      </w:r>
    </w:p>
    <w:p>
      <w:pPr>
        <w:spacing w:before="60" w:after="60"/>
        <w:jc w:val="both"/>
      </w:pPr>
      <w:r>
        <w:rPr>
          <w:rFonts w:ascii="Calibri" w:cs="Calibri" w:eastAsia="Calibri" w:hAnsi="Calibri"/>
          <w:color w:val="4A5568"/>
          <w:sz w:val="22"/>
          <w:szCs w:val="22"/>
        </w:rPr>
        <w:t xml:space="preserve">The quantile change from 0.667 (Stage 1 peak) to 0.750 (Stage 2 peak) is fully justified by the regulatory change and the newsvendor optimality condition. It is not a heuristic adjustment. The formula q* = c_under / (c_under + c_over) = 6/8 = 0.750 is the unique minimiser of expected ABT penalty under the revised rate structure. The off-peak quantile (0.667) is unchanged because the off-peak penalty structure is unchanged. Any other values would be sub-optimal in expectation.</w:t>
      </w:r>
    </w:p>
    <w:p>
      <w:pPr>
        <w:spacing w:before="0" w:after="160"/>
      </w:pPr>
      <w:r>
        <w:t xml:space="preserve"/>
      </w:r>
    </w:p>
    <w:p>
      <w:pPr>
        <w:spacing w:before="400"/>
        <w:jc w:val="center"/>
      </w:pPr>
      <w:r>
        <w:rPr>
          <w:rFonts w:ascii="Calibri" w:cs="Calibri" w:eastAsia="Calibri" w:hAnsi="Calibri"/>
          <w:color w:val="8BA4C0"/>
          <w:sz w:val="18"/>
          <w:szCs w:val="18"/>
        </w:rPr>
        <w:t xml:space="preserve">— End of Stage 2 Report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2"/>
      </w:pBdr>
      <w:spacing w:before="80"/>
      <w:jc w:val="center"/>
    </w:pPr>
    <w:r>
      <w:rPr>
        <w:rFonts w:ascii="Arial" w:cs="Arial" w:eastAsia="Arial" w:hAnsi="Arial"/>
        <w:color w:val="8BA4C0"/>
        <w:sz w:val="16"/>
        <w:szCs w:val="16"/>
      </w:rPr>
      <w:t xml:space="preserve">Confidential — NLD Synapse 2026 | N.L. Dalmia Institute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2828" w:sz="4" w:space="2"/>
      </w:pBdr>
      <w:spacing w:after="0"/>
    </w:pPr>
    <w:r>
      <w:rPr>
        <w:rFonts w:ascii="Arial" w:cs="Arial" w:eastAsia="Arial" w:hAnsi="Arial"/>
        <w:color w:val="1B4F8A"/>
        <w:sz w:val="16"/>
        <w:szCs w:val="16"/>
      </w:rPr>
      <w:t xml:space="preserve">GRIDSHIELD Stage 2 — Regime Shift &amp; Penalty Escalation | Forecast Risk Advisory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A1628"/>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B4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8dd6fd25aa0b36871091bfc9e0795dee37f7ecf.png"/><Relationship Id="rId9" Type="http://schemas.openxmlformats.org/officeDocument/2006/relationships/image" Target="media/2a2ad45e3fef2a35720ca4ddfe8240759bca7742.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2026-02-28T19:47:41.082Z</dcterms:created>
  <dcterms:modified xsi:type="dcterms:W3CDTF">2026-02-28T19:47:41.085Z</dcterms:modified>
</cp:coreProperties>
</file>

<file path=docProps/custom.xml><?xml version="1.0" encoding="utf-8"?>
<Properties xmlns="http://schemas.openxmlformats.org/officeDocument/2006/custom-properties" xmlns:vt="http://schemas.openxmlformats.org/officeDocument/2006/docPropsVTypes"/>
</file>