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247A0" w14:textId="77777777" w:rsidR="008E66F5" w:rsidRPr="008E66F5" w:rsidRDefault="008E66F5" w:rsidP="008E66F5">
      <w:pPr>
        <w:jc w:val="center"/>
        <w:rPr>
          <w:b/>
          <w:bCs/>
          <w:sz w:val="36"/>
          <w:szCs w:val="36"/>
        </w:rPr>
      </w:pPr>
      <w:r w:rsidRPr="008E66F5">
        <w:rPr>
          <w:b/>
          <w:bCs/>
          <w:sz w:val="36"/>
          <w:szCs w:val="36"/>
        </w:rPr>
        <w:t>Compound V2 Wallet Risk Scoring: Detailed Project Report</w:t>
      </w:r>
    </w:p>
    <w:p w14:paraId="4D4290CD" w14:textId="77777777" w:rsidR="008E66F5" w:rsidRPr="008E66F5" w:rsidRDefault="008E66F5" w:rsidP="008E66F5">
      <w:pPr>
        <w:rPr>
          <w:b/>
          <w:bCs/>
          <w:u w:val="single"/>
        </w:rPr>
      </w:pPr>
      <w:r w:rsidRPr="008E66F5">
        <w:rPr>
          <w:b/>
          <w:bCs/>
          <w:u w:val="single"/>
        </w:rPr>
        <w:t>Data Collection Method</w:t>
      </w:r>
    </w:p>
    <w:p w14:paraId="0DB9F3D9" w14:textId="77777777" w:rsidR="008E66F5" w:rsidRPr="008E66F5" w:rsidRDefault="008E66F5" w:rsidP="008E66F5">
      <w:r w:rsidRPr="008E66F5">
        <w:rPr>
          <w:b/>
          <w:bCs/>
        </w:rPr>
        <w:t>Schema Exploration and Sourcing:</w:t>
      </w:r>
      <w:r w:rsidRPr="008E66F5">
        <w:br/>
        <w:t>To ensure complete and accurate coverage of all relevant wallet behaviors, the project began with systematic exploration of Compound protocol subgraphs using The Graph’s APIs.</w:t>
      </w:r>
    </w:p>
    <w:p w14:paraId="31CC8A79" w14:textId="77777777" w:rsidR="008E66F5" w:rsidRPr="008E66F5" w:rsidRDefault="008E66F5" w:rsidP="008E66F5">
      <w:pPr>
        <w:numPr>
          <w:ilvl w:val="0"/>
          <w:numId w:val="1"/>
        </w:numPr>
      </w:pPr>
      <w:r w:rsidRPr="008E66F5">
        <w:t>Introspection queries were run (via custom scripts) on several candidate Compound V2 and V3 subgraphs to extract and analyze the full schema of available data structures in JSON format.</w:t>
      </w:r>
    </w:p>
    <w:p w14:paraId="0EE9181B" w14:textId="77777777" w:rsidR="008E66F5" w:rsidRPr="008E66F5" w:rsidRDefault="008E66F5" w:rsidP="008E66F5">
      <w:pPr>
        <w:numPr>
          <w:ilvl w:val="0"/>
          <w:numId w:val="1"/>
        </w:numPr>
      </w:pPr>
      <w:r w:rsidRPr="008E66F5">
        <w:t xml:space="preserve">This step was critical for confirming which on-chain data fields (balances, events, market activity, liquidations, etc.) could be reliably queried for the full list of </w:t>
      </w:r>
      <w:proofErr w:type="gramStart"/>
      <w:r w:rsidRPr="008E66F5">
        <w:t>provided wallet addresses</w:t>
      </w:r>
      <w:proofErr w:type="gramEnd"/>
      <w:r w:rsidRPr="008E66F5">
        <w:t>.</w:t>
      </w:r>
    </w:p>
    <w:p w14:paraId="1F4E769D" w14:textId="77777777" w:rsidR="008E66F5" w:rsidRPr="008E66F5" w:rsidRDefault="008E66F5" w:rsidP="008E66F5">
      <w:r w:rsidRPr="008E66F5">
        <w:rPr>
          <w:b/>
          <w:bCs/>
        </w:rPr>
        <w:t>Subgraph Selection and Query Development:</w:t>
      </w:r>
    </w:p>
    <w:p w14:paraId="20291E5C" w14:textId="77777777" w:rsidR="008E66F5" w:rsidRPr="008E66F5" w:rsidRDefault="008E66F5" w:rsidP="008E66F5">
      <w:pPr>
        <w:numPr>
          <w:ilvl w:val="0"/>
          <w:numId w:val="2"/>
        </w:numPr>
      </w:pPr>
      <w:r w:rsidRPr="008E66F5">
        <w:t xml:space="preserve">Dedicated Python scripts were written to construct and execute </w:t>
      </w:r>
      <w:proofErr w:type="spellStart"/>
      <w:r w:rsidRPr="008E66F5">
        <w:t>GraphQL</w:t>
      </w:r>
      <w:proofErr w:type="spellEnd"/>
      <w:r w:rsidRPr="008E66F5">
        <w:t xml:space="preserve"> queries for each wallet, gathering all protocol-relevant on-chain data (e.g., deposits, </w:t>
      </w:r>
      <w:proofErr w:type="gramStart"/>
      <w:r w:rsidRPr="008E66F5">
        <w:t>borrows</w:t>
      </w:r>
      <w:proofErr w:type="gramEnd"/>
      <w:r w:rsidRPr="008E66F5">
        <w:t>, repays, withdrawals, market participation).</w:t>
      </w:r>
    </w:p>
    <w:p w14:paraId="647E612C" w14:textId="77777777" w:rsidR="008E66F5" w:rsidRPr="008E66F5" w:rsidRDefault="008E66F5" w:rsidP="008E66F5">
      <w:pPr>
        <w:numPr>
          <w:ilvl w:val="0"/>
          <w:numId w:val="2"/>
        </w:numPr>
      </w:pPr>
      <w:r w:rsidRPr="008E66F5">
        <w:t xml:space="preserve">Four separate Compound V2 and V3 subgraphs on </w:t>
      </w:r>
      <w:proofErr w:type="spellStart"/>
      <w:r w:rsidRPr="008E66F5">
        <w:t>Arbitrum</w:t>
      </w:r>
      <w:proofErr w:type="spellEnd"/>
      <w:r w:rsidRPr="008E66F5">
        <w:t xml:space="preserve"> were evaluated. Only one V2 subgraph yielded valid, complete data for the challenge wallet set; no V3 subgraph yielded matching data for the wallet set at all. Thus, all downstream analysis and modeling were V2-based, though the pipeline was designed </w:t>
      </w:r>
      <w:proofErr w:type="gramStart"/>
      <w:r w:rsidRPr="008E66F5">
        <w:t>to flexibly</w:t>
      </w:r>
      <w:proofErr w:type="gramEnd"/>
      <w:r w:rsidRPr="008E66F5">
        <w:t xml:space="preserve"> accept V3 data in the future.</w:t>
      </w:r>
    </w:p>
    <w:p w14:paraId="5F62C633" w14:textId="77777777" w:rsidR="008E66F5" w:rsidRPr="008E66F5" w:rsidRDefault="008E66F5" w:rsidP="008E66F5">
      <w:r w:rsidRPr="008E66F5">
        <w:rPr>
          <w:b/>
          <w:bCs/>
        </w:rPr>
        <w:t>Raw Dataset Creation:</w:t>
      </w:r>
    </w:p>
    <w:p w14:paraId="6B5A7DF9" w14:textId="77777777" w:rsidR="008E66F5" w:rsidRPr="008E66F5" w:rsidRDefault="008E66F5" w:rsidP="008E66F5">
      <w:pPr>
        <w:ind w:left="720"/>
      </w:pPr>
      <w:r w:rsidRPr="008E66F5">
        <w:t>Queried data for all target wallets was aggregated and stored in a single raw transaction dataset (compound_wallets_raw_data.csv) that formed the backbone for all subsequent feature extraction and modeling.</w:t>
      </w:r>
    </w:p>
    <w:p w14:paraId="099FA56F" w14:textId="77777777" w:rsidR="008E66F5" w:rsidRPr="008E66F5" w:rsidRDefault="008E66F5" w:rsidP="008E66F5">
      <w:pPr>
        <w:rPr>
          <w:b/>
          <w:bCs/>
          <w:u w:val="single"/>
        </w:rPr>
      </w:pPr>
      <w:r w:rsidRPr="008E66F5">
        <w:rPr>
          <w:b/>
          <w:bCs/>
          <w:u w:val="single"/>
        </w:rPr>
        <w:t>Feature Selection Rationale</w:t>
      </w:r>
    </w:p>
    <w:p w14:paraId="4C9A3D0F" w14:textId="77777777" w:rsidR="008E66F5" w:rsidRPr="008E66F5" w:rsidRDefault="008E66F5" w:rsidP="008E66F5">
      <w:r w:rsidRPr="008E66F5">
        <w:rPr>
          <w:b/>
          <w:bCs/>
        </w:rPr>
        <w:t>Theory- and Data-Driven Design:</w:t>
      </w:r>
      <w:r w:rsidRPr="008E66F5">
        <w:br/>
        <w:t>Drawing from extensive literature on DeFi lending risk and practical experience, features were engineered to capture both direct on-chain risk factors and broader behavioral patterns. Key considerations in selection included direct risk explainability, empirical support from EDA, and non-redundancy.</w:t>
      </w:r>
    </w:p>
    <w:p w14:paraId="280A989A" w14:textId="77777777" w:rsidR="008E66F5" w:rsidRDefault="008E66F5" w:rsidP="008E66F5">
      <w:pPr>
        <w:rPr>
          <w:b/>
          <w:bCs/>
        </w:rPr>
      </w:pPr>
    </w:p>
    <w:p w14:paraId="542548F5" w14:textId="63289C8C" w:rsidR="008E66F5" w:rsidRPr="008E66F5" w:rsidRDefault="008E66F5" w:rsidP="008E66F5">
      <w:r w:rsidRPr="008E66F5">
        <w:rPr>
          <w:b/>
          <w:bCs/>
        </w:rPr>
        <w:t>Key Features Used:</w:t>
      </w:r>
    </w:p>
    <w:p w14:paraId="356CB70C" w14:textId="6B8BE4E3" w:rsidR="008E66F5" w:rsidRPr="008E66F5" w:rsidRDefault="008E66F5" w:rsidP="008E66F5">
      <w:pPr>
        <w:numPr>
          <w:ilvl w:val="0"/>
          <w:numId w:val="4"/>
        </w:numPr>
      </w:pPr>
      <w:r w:rsidRPr="008E66F5">
        <w:t>Monetary</w:t>
      </w:r>
      <w:r>
        <w:t>_</w:t>
      </w:r>
      <w:r w:rsidRPr="008E66F5">
        <w:t>flows: total_supplied_usd, total_borrowed_usd, total_withdrawn_usd, total_repaid_usd</w:t>
      </w:r>
    </w:p>
    <w:p w14:paraId="26B70B3F" w14:textId="77777777" w:rsidR="008E66F5" w:rsidRPr="008E66F5" w:rsidRDefault="008E66F5" w:rsidP="008E66F5">
      <w:pPr>
        <w:numPr>
          <w:ilvl w:val="0"/>
          <w:numId w:val="4"/>
        </w:numPr>
      </w:pPr>
      <w:r w:rsidRPr="008E66F5">
        <w:t>Ratios: </w:t>
      </w:r>
      <w:proofErr w:type="spellStart"/>
      <w:r w:rsidRPr="008E66F5">
        <w:t>collateralization_ratio</w:t>
      </w:r>
      <w:proofErr w:type="spellEnd"/>
      <w:r w:rsidRPr="008E66F5">
        <w:t> (protocol-level risk margin), </w:t>
      </w:r>
      <w:proofErr w:type="spellStart"/>
      <w:r w:rsidRPr="008E66F5">
        <w:t>repayment_rate</w:t>
      </w:r>
      <w:proofErr w:type="spellEnd"/>
      <w:r w:rsidRPr="008E66F5">
        <w:t> (user reliability), </w:t>
      </w:r>
      <w:proofErr w:type="spellStart"/>
      <w:r w:rsidRPr="008E66F5">
        <w:t>withdraw_to_supply_ratio</w:t>
      </w:r>
      <w:proofErr w:type="spellEnd"/>
      <w:r w:rsidRPr="008E66F5">
        <w:t> (draining/abandonment signal)</w:t>
      </w:r>
    </w:p>
    <w:p w14:paraId="57373917" w14:textId="77777777" w:rsidR="008E66F5" w:rsidRPr="008E66F5" w:rsidRDefault="008E66F5" w:rsidP="008E66F5">
      <w:pPr>
        <w:numPr>
          <w:ilvl w:val="0"/>
          <w:numId w:val="4"/>
        </w:numPr>
      </w:pPr>
      <w:r w:rsidRPr="008E66F5">
        <w:t>Engagement: number_markets_used, num_borrow_events, num_deposit_events, total_protocol_tx (acts as activity proxy)</w:t>
      </w:r>
    </w:p>
    <w:p w14:paraId="7C9612F3" w14:textId="77777777" w:rsidR="008E66F5" w:rsidRPr="008E66F5" w:rsidRDefault="008E66F5" w:rsidP="008E66F5">
      <w:pPr>
        <w:numPr>
          <w:ilvl w:val="0"/>
          <w:numId w:val="4"/>
        </w:numPr>
      </w:pPr>
      <w:r w:rsidRPr="008E66F5">
        <w:t>Risk incident flags: liquidations_suffered, has_been_liquidated, high_withdraw_flag</w:t>
      </w:r>
    </w:p>
    <w:p w14:paraId="2461EE30" w14:textId="77777777" w:rsidR="008E66F5" w:rsidRPr="008E66F5" w:rsidRDefault="008E66F5" w:rsidP="008E66F5">
      <w:pPr>
        <w:numPr>
          <w:ilvl w:val="0"/>
          <w:numId w:val="4"/>
        </w:numPr>
      </w:pPr>
      <w:r w:rsidRPr="008E66F5">
        <w:t>Non-linear and log features: total_supplied_usd_log, total_withdrawn_usd_log, total_protocol_tx_log captured scale while mitigating outlier/whale effects.</w:t>
      </w:r>
    </w:p>
    <w:p w14:paraId="5BFB6F4B" w14:textId="77777777" w:rsidR="008E66F5" w:rsidRPr="008E66F5" w:rsidRDefault="008E66F5" w:rsidP="008E66F5">
      <w:r w:rsidRPr="008E66F5">
        <w:rPr>
          <w:b/>
          <w:bCs/>
          <w:u w:val="single"/>
        </w:rPr>
        <w:t>Feature Pruning and Robustness:</w:t>
      </w:r>
      <w:r w:rsidRPr="008E66F5">
        <w:br/>
        <w:t>EDA revealed several features were highly collinear (e.g., protocol event counts and USD totals), so only one representative from each group was retained to avoid double-counting. Features dominated by missing or zeroed values (e.g., V3 specifics, empty fields) were dropped or carefully imputed to preserve variance and modeling stability.</w:t>
      </w:r>
    </w:p>
    <w:p w14:paraId="57E97180" w14:textId="77777777" w:rsidR="008E66F5" w:rsidRPr="008E66F5" w:rsidRDefault="008E66F5" w:rsidP="008E66F5">
      <w:pPr>
        <w:rPr>
          <w:b/>
          <w:bCs/>
          <w:u w:val="single"/>
        </w:rPr>
      </w:pPr>
      <w:r w:rsidRPr="008E66F5">
        <w:rPr>
          <w:b/>
          <w:bCs/>
          <w:u w:val="single"/>
        </w:rPr>
        <w:t>Scoring Method</w:t>
      </w:r>
    </w:p>
    <w:p w14:paraId="31B432DD" w14:textId="77777777" w:rsidR="008E66F5" w:rsidRPr="008E66F5" w:rsidRDefault="008E66F5" w:rsidP="008E66F5">
      <w:r w:rsidRPr="008E66F5">
        <w:rPr>
          <w:b/>
          <w:bCs/>
        </w:rPr>
        <w:t>Heuristic Rule-Based Scoring:</w:t>
      </w:r>
    </w:p>
    <w:p w14:paraId="69100952" w14:textId="77777777" w:rsidR="008E66F5" w:rsidRPr="008E66F5" w:rsidRDefault="008E66F5" w:rsidP="008E66F5">
      <w:pPr>
        <w:numPr>
          <w:ilvl w:val="0"/>
          <w:numId w:val="5"/>
        </w:numPr>
      </w:pPr>
      <w:r w:rsidRPr="008E66F5">
        <w:t>A domain-informed, expert-weighted heuristic scoring function was implemented first.</w:t>
      </w:r>
    </w:p>
    <w:p w14:paraId="2742821B" w14:textId="77777777" w:rsidR="008E66F5" w:rsidRPr="008E66F5" w:rsidRDefault="008E66F5" w:rsidP="008E66F5">
      <w:pPr>
        <w:numPr>
          <w:ilvl w:val="0"/>
          <w:numId w:val="5"/>
        </w:numPr>
      </w:pPr>
      <w:r w:rsidRPr="008E66F5">
        <w:t>Features were normalized (0=safest, 1=riskiest), clipped to prevent outlier-dominance, and combined as a weighted sum.</w:t>
      </w:r>
    </w:p>
    <w:p w14:paraId="3D860E31" w14:textId="77777777" w:rsidR="008E66F5" w:rsidRPr="008E66F5" w:rsidRDefault="008E66F5" w:rsidP="008E66F5">
      <w:pPr>
        <w:numPr>
          <w:ilvl w:val="1"/>
          <w:numId w:val="5"/>
        </w:numPr>
      </w:pPr>
      <w:r w:rsidRPr="008E66F5">
        <w:t>Key weights: collateralization ratio (0.25), repayment rate (0.20), liquidations suffered (0.15), withdraw-to-supply ratio (0.15), diversification (0.10), protocol activity (0.10), borrow risk (0.05).</w:t>
      </w:r>
    </w:p>
    <w:p w14:paraId="5ADB331C" w14:textId="77777777" w:rsidR="008E66F5" w:rsidRPr="008E66F5" w:rsidRDefault="008E66F5" w:rsidP="008E66F5">
      <w:pPr>
        <w:numPr>
          <w:ilvl w:val="0"/>
          <w:numId w:val="5"/>
        </w:numPr>
      </w:pPr>
      <w:r w:rsidRPr="008E66F5">
        <w:t>The formula generated a composite risk value for each wallet, linearly rescaled to a 1–1000 range (1 = safest, 1000 = riskiest) for clarity in reporting.</w:t>
      </w:r>
    </w:p>
    <w:p w14:paraId="264493B0" w14:textId="77777777" w:rsidR="008E66F5" w:rsidRPr="008E66F5" w:rsidRDefault="008E66F5" w:rsidP="008E66F5">
      <w:pPr>
        <w:numPr>
          <w:ilvl w:val="0"/>
          <w:numId w:val="5"/>
        </w:numPr>
      </w:pPr>
      <w:r w:rsidRPr="008E66F5">
        <w:t>Upon close EDA review, normalization and scaling choices were tuned to handle the challenge dataset’s real skew: most wallets have low activity, while a few “whales” and risky users define the variance.</w:t>
      </w:r>
    </w:p>
    <w:p w14:paraId="46DAEDE0" w14:textId="77777777" w:rsidR="008E66F5" w:rsidRDefault="008E66F5" w:rsidP="008E66F5">
      <w:pPr>
        <w:rPr>
          <w:b/>
          <w:bCs/>
        </w:rPr>
      </w:pPr>
    </w:p>
    <w:p w14:paraId="2FE28A99" w14:textId="70D8C3C2" w:rsidR="008E66F5" w:rsidRPr="008E66F5" w:rsidRDefault="008E66F5" w:rsidP="008E66F5">
      <w:r w:rsidRPr="008E66F5">
        <w:rPr>
          <w:b/>
          <w:bCs/>
        </w:rPr>
        <w:t>Machine Learning Enhancement:</w:t>
      </w:r>
    </w:p>
    <w:p w14:paraId="20EBEA3F" w14:textId="77777777" w:rsidR="008E66F5" w:rsidRPr="008E66F5" w:rsidRDefault="008E66F5" w:rsidP="008E66F5">
      <w:pPr>
        <w:numPr>
          <w:ilvl w:val="0"/>
          <w:numId w:val="6"/>
        </w:numPr>
      </w:pPr>
      <w:r w:rsidRPr="008E66F5">
        <w:t>The engineered features and heuristic score together formed the basis for ML training.</w:t>
      </w:r>
    </w:p>
    <w:p w14:paraId="1586447D" w14:textId="77777777" w:rsidR="008E66F5" w:rsidRPr="008E66F5" w:rsidRDefault="008E66F5" w:rsidP="008E66F5">
      <w:pPr>
        <w:numPr>
          <w:ilvl w:val="0"/>
          <w:numId w:val="6"/>
        </w:numPr>
      </w:pPr>
      <w:proofErr w:type="spellStart"/>
      <w:r w:rsidRPr="008E66F5">
        <w:t>XGBoost</w:t>
      </w:r>
      <w:proofErr w:type="spellEnd"/>
      <w:r w:rsidRPr="008E66F5">
        <w:t xml:space="preserve">, </w:t>
      </w:r>
      <w:proofErr w:type="spellStart"/>
      <w:r w:rsidRPr="008E66F5">
        <w:t>LightGBM</w:t>
      </w:r>
      <w:proofErr w:type="spellEnd"/>
      <w:r w:rsidRPr="008E66F5">
        <w:t>, and Random Forest regressors were compared for predictive capability against the heuristic risk score as the target.</w:t>
      </w:r>
    </w:p>
    <w:p w14:paraId="5AFE1B77" w14:textId="77777777" w:rsidR="008E66F5" w:rsidRPr="008E66F5" w:rsidRDefault="008E66F5" w:rsidP="008E66F5">
      <w:pPr>
        <w:numPr>
          <w:ilvl w:val="0"/>
          <w:numId w:val="6"/>
        </w:numPr>
      </w:pPr>
      <w:r w:rsidRPr="008E66F5">
        <w:t xml:space="preserve">Model efficacy was assessed primarily with RMSE, MAE, and R² on validation splits. </w:t>
      </w:r>
      <w:proofErr w:type="spellStart"/>
      <w:r w:rsidRPr="008E66F5">
        <w:t>XGBoost</w:t>
      </w:r>
      <w:proofErr w:type="spellEnd"/>
      <w:r w:rsidRPr="008E66F5">
        <w:t xml:space="preserve"> was selected as the winning model for its best RMSE and interpretability.</w:t>
      </w:r>
    </w:p>
    <w:p w14:paraId="61709CF0" w14:textId="77777777" w:rsidR="008E66F5" w:rsidRPr="008E66F5" w:rsidRDefault="008E66F5" w:rsidP="008E66F5">
      <w:pPr>
        <w:numPr>
          <w:ilvl w:val="0"/>
          <w:numId w:val="6"/>
        </w:numPr>
      </w:pPr>
      <w:r w:rsidRPr="008E66F5">
        <w:t>The final model, trained on the complete feature set, generated refined, learnable risk predictions for all wallets, output in final_predictions.csv.</w:t>
      </w:r>
    </w:p>
    <w:p w14:paraId="384194EE" w14:textId="77777777" w:rsidR="008E66F5" w:rsidRPr="008E66F5" w:rsidRDefault="008E66F5" w:rsidP="008E66F5">
      <w:pPr>
        <w:rPr>
          <w:b/>
          <w:bCs/>
          <w:sz w:val="28"/>
          <w:szCs w:val="28"/>
          <w:u w:val="single"/>
        </w:rPr>
      </w:pPr>
      <w:r w:rsidRPr="008E66F5">
        <w:rPr>
          <w:b/>
          <w:bCs/>
          <w:sz w:val="28"/>
          <w:szCs w:val="28"/>
          <w:u w:val="single"/>
        </w:rPr>
        <w:t>Justification of Risk Indicators Used</w:t>
      </w:r>
    </w:p>
    <w:p w14:paraId="46FB3DF6" w14:textId="2C0355EB" w:rsidR="008E66F5" w:rsidRPr="008E66F5" w:rsidRDefault="008E66F5" w:rsidP="008E66F5">
      <w:pPr>
        <w:pStyle w:val="ListParagraph"/>
        <w:numPr>
          <w:ilvl w:val="0"/>
          <w:numId w:val="13"/>
        </w:numPr>
      </w:pPr>
      <w:r w:rsidRPr="008E66F5">
        <w:rPr>
          <w:b/>
          <w:bCs/>
        </w:rPr>
        <w:t>Collateralization Ratio</w:t>
      </w:r>
    </w:p>
    <w:p w14:paraId="2F84D57E" w14:textId="77777777" w:rsidR="008E66F5" w:rsidRPr="008E66F5" w:rsidRDefault="008E66F5" w:rsidP="008E66F5">
      <w:pPr>
        <w:ind w:left="720"/>
      </w:pPr>
      <w:r w:rsidRPr="008E66F5">
        <w:t>Strongly predictive of liquidation risk; EDA revealed that most “safe” wallets cluster above 1, with a minority near threshold or below. This indicator was heavily weighted and rigorously normalized.</w:t>
      </w:r>
    </w:p>
    <w:p w14:paraId="15FF156C" w14:textId="0EF75918" w:rsidR="008E66F5" w:rsidRPr="008E66F5" w:rsidRDefault="008E66F5" w:rsidP="008E66F5">
      <w:pPr>
        <w:pStyle w:val="ListParagraph"/>
        <w:numPr>
          <w:ilvl w:val="0"/>
          <w:numId w:val="13"/>
        </w:numPr>
      </w:pPr>
      <w:r w:rsidRPr="008E66F5">
        <w:rPr>
          <w:b/>
          <w:bCs/>
        </w:rPr>
        <w:t>Repayment Rate</w:t>
      </w:r>
    </w:p>
    <w:p w14:paraId="75E5911F" w14:textId="77777777" w:rsidR="008E66F5" w:rsidRPr="008E66F5" w:rsidRDefault="008E66F5" w:rsidP="008E66F5">
      <w:pPr>
        <w:ind w:left="720"/>
      </w:pPr>
      <w:r w:rsidRPr="008E66F5">
        <w:t>Demonstrates user reliability; EDA confirmed near-binary separation between non-</w:t>
      </w:r>
      <w:proofErr w:type="spellStart"/>
      <w:r w:rsidRPr="008E66F5">
        <w:t>repayers</w:t>
      </w:r>
      <w:proofErr w:type="spellEnd"/>
      <w:r w:rsidRPr="008E66F5">
        <w:t xml:space="preserve"> (high risk) and consistent </w:t>
      </w:r>
      <w:proofErr w:type="spellStart"/>
      <w:r w:rsidRPr="008E66F5">
        <w:t>repayers</w:t>
      </w:r>
      <w:proofErr w:type="spellEnd"/>
      <w:r w:rsidRPr="008E66F5">
        <w:t xml:space="preserve"> (safe).</w:t>
      </w:r>
    </w:p>
    <w:p w14:paraId="02FD37A5" w14:textId="31552E1C" w:rsidR="008E66F5" w:rsidRPr="008E66F5" w:rsidRDefault="008E66F5" w:rsidP="008E66F5">
      <w:pPr>
        <w:pStyle w:val="ListParagraph"/>
        <w:numPr>
          <w:ilvl w:val="0"/>
          <w:numId w:val="13"/>
        </w:numPr>
      </w:pPr>
      <w:r w:rsidRPr="008E66F5">
        <w:rPr>
          <w:b/>
          <w:bCs/>
        </w:rPr>
        <w:t>Liquidations Suffered</w:t>
      </w:r>
    </w:p>
    <w:p w14:paraId="474C5F47" w14:textId="77777777" w:rsidR="008E66F5" w:rsidRPr="008E66F5" w:rsidRDefault="008E66F5" w:rsidP="008E66F5">
      <w:pPr>
        <w:ind w:left="720"/>
      </w:pPr>
      <w:r w:rsidRPr="008E66F5">
        <w:t>Historical liquidations, though rare, are a powerful risk signal. EDA showed these events cluster in a small wallet subset, supporting strong penalty calibration.</w:t>
      </w:r>
    </w:p>
    <w:p w14:paraId="57EFF252" w14:textId="0DC5A0DB" w:rsidR="008E66F5" w:rsidRPr="008E66F5" w:rsidRDefault="008E66F5" w:rsidP="008E66F5">
      <w:pPr>
        <w:pStyle w:val="ListParagraph"/>
        <w:numPr>
          <w:ilvl w:val="0"/>
          <w:numId w:val="13"/>
        </w:numPr>
      </w:pPr>
      <w:r w:rsidRPr="008E66F5">
        <w:rPr>
          <w:b/>
          <w:bCs/>
        </w:rPr>
        <w:t>Withdraw-to-Supply Ratio</w:t>
      </w:r>
    </w:p>
    <w:p w14:paraId="2B30283B" w14:textId="77777777" w:rsidR="008E66F5" w:rsidRPr="008E66F5" w:rsidRDefault="008E66F5" w:rsidP="008E66F5">
      <w:pPr>
        <w:ind w:left="720"/>
      </w:pPr>
      <w:r w:rsidRPr="008E66F5">
        <w:t>Observed in EDA as a strong separator between wallets still exposed to protocol risk and those that have “drained” assets—thus, critical for risk of exit behavior or strategic non-participation.</w:t>
      </w:r>
    </w:p>
    <w:p w14:paraId="71841D3F" w14:textId="776315FD" w:rsidR="008E66F5" w:rsidRPr="008E66F5" w:rsidRDefault="008E66F5" w:rsidP="008E66F5">
      <w:pPr>
        <w:pStyle w:val="ListParagraph"/>
        <w:numPr>
          <w:ilvl w:val="0"/>
          <w:numId w:val="13"/>
        </w:numPr>
      </w:pPr>
      <w:r w:rsidRPr="008E66F5">
        <w:rPr>
          <w:b/>
          <w:bCs/>
        </w:rPr>
        <w:t>Activity &amp; Diversification</w:t>
      </w:r>
    </w:p>
    <w:p w14:paraId="7462F477" w14:textId="77777777" w:rsidR="008E66F5" w:rsidRPr="008E66F5" w:rsidRDefault="008E66F5" w:rsidP="008E66F5">
      <w:pPr>
        <w:ind w:left="720"/>
      </w:pPr>
      <w:r w:rsidRPr="008E66F5">
        <w:t>Moderate protocol activity and broader asset use both correlated with safety. Extremely low or high activity, or lack of diversification, was associated with edge-case risky behaviors.</w:t>
      </w:r>
    </w:p>
    <w:p w14:paraId="690F8EBF" w14:textId="77777777" w:rsidR="008E66F5" w:rsidRDefault="008E66F5" w:rsidP="008E66F5">
      <w:pPr>
        <w:rPr>
          <w:b/>
          <w:bCs/>
        </w:rPr>
      </w:pPr>
    </w:p>
    <w:p w14:paraId="1208521C" w14:textId="77777777" w:rsidR="008E66F5" w:rsidRDefault="008E66F5" w:rsidP="008E66F5">
      <w:pPr>
        <w:rPr>
          <w:b/>
          <w:bCs/>
        </w:rPr>
      </w:pPr>
    </w:p>
    <w:p w14:paraId="13497FBB" w14:textId="17BF7228" w:rsidR="008E66F5" w:rsidRPr="008E66F5" w:rsidRDefault="008E66F5" w:rsidP="008E66F5">
      <w:pPr>
        <w:pStyle w:val="ListParagraph"/>
        <w:numPr>
          <w:ilvl w:val="0"/>
          <w:numId w:val="13"/>
        </w:numPr>
      </w:pPr>
      <w:r w:rsidRPr="008E66F5">
        <w:rPr>
          <w:b/>
          <w:bCs/>
        </w:rPr>
        <w:t>Handling of Outliers and Redundancy</w:t>
      </w:r>
    </w:p>
    <w:p w14:paraId="05B5DE36" w14:textId="77777777" w:rsidR="008E66F5" w:rsidRPr="008E66F5" w:rsidRDefault="008E66F5" w:rsidP="008E66F5">
      <w:pPr>
        <w:ind w:left="720"/>
      </w:pPr>
      <w:r w:rsidRPr="008E66F5">
        <w:t>Deep EDA revealed “whale” outliers and strong feature correlations, driving clipping, log transformation, and careful feature selection to avoid overweighting or spurious model sensitivity.</w:t>
      </w:r>
    </w:p>
    <w:p w14:paraId="2D1A76B7" w14:textId="77777777" w:rsidR="008E66F5" w:rsidRPr="008E66F5" w:rsidRDefault="008E66F5" w:rsidP="008E66F5">
      <w:pPr>
        <w:rPr>
          <w:b/>
          <w:bCs/>
          <w:u w:val="single"/>
        </w:rPr>
      </w:pPr>
      <w:r w:rsidRPr="008E66F5">
        <w:rPr>
          <w:b/>
          <w:bCs/>
          <w:u w:val="single"/>
        </w:rPr>
        <w:t>Conclusion</w:t>
      </w:r>
    </w:p>
    <w:p w14:paraId="6B490DB0" w14:textId="77777777" w:rsidR="008E66F5" w:rsidRPr="008E66F5" w:rsidRDefault="008E66F5" w:rsidP="008E66F5">
      <w:r w:rsidRPr="008E66F5">
        <w:t>This project delivered a robust, end-to-end on-chain wallet risk scoring system. The workflow integrated schema introspection, precision subgraph querying, EDA-driven feature engineering, rigorous cleaning, interpretability-focused heuristic scoring, and state-of-the-art ML regression (</w:t>
      </w:r>
      <w:proofErr w:type="spellStart"/>
      <w:r w:rsidRPr="008E66F5">
        <w:t>XGBoost</w:t>
      </w:r>
      <w:proofErr w:type="spellEnd"/>
      <w:r w:rsidRPr="008E66F5">
        <w:t>). Each risk signal was empirically vetted, weighted, and validated via both rule-based and machine learning methods, ensuring clarity, scalability, and predictive strength for operational or compliance DeFi risk tools.</w:t>
      </w:r>
    </w:p>
    <w:p w14:paraId="68CBD8AD" w14:textId="77777777" w:rsidR="00945FB4" w:rsidRDefault="00945FB4"/>
    <w:sectPr w:rsidR="0094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7595"/>
    <w:multiLevelType w:val="multilevel"/>
    <w:tmpl w:val="4C56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703B4"/>
    <w:multiLevelType w:val="multilevel"/>
    <w:tmpl w:val="A07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011CD"/>
    <w:multiLevelType w:val="multilevel"/>
    <w:tmpl w:val="423C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C3E78"/>
    <w:multiLevelType w:val="multilevel"/>
    <w:tmpl w:val="625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85070"/>
    <w:multiLevelType w:val="multilevel"/>
    <w:tmpl w:val="2F4C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BC560D"/>
    <w:multiLevelType w:val="hybridMultilevel"/>
    <w:tmpl w:val="BE66DAC4"/>
    <w:lvl w:ilvl="0" w:tplc="8B2EDBE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D77A4"/>
    <w:multiLevelType w:val="multilevel"/>
    <w:tmpl w:val="47A4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142FDD"/>
    <w:multiLevelType w:val="multilevel"/>
    <w:tmpl w:val="FD1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993E86"/>
    <w:multiLevelType w:val="multilevel"/>
    <w:tmpl w:val="C46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13762D"/>
    <w:multiLevelType w:val="multilevel"/>
    <w:tmpl w:val="E2C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853D5A"/>
    <w:multiLevelType w:val="multilevel"/>
    <w:tmpl w:val="A83A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C92AA0"/>
    <w:multiLevelType w:val="multilevel"/>
    <w:tmpl w:val="D54C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721307"/>
    <w:multiLevelType w:val="multilevel"/>
    <w:tmpl w:val="5120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1316746">
    <w:abstractNumId w:val="1"/>
  </w:num>
  <w:num w:numId="2" w16cid:durableId="1603682055">
    <w:abstractNumId w:val="12"/>
  </w:num>
  <w:num w:numId="3" w16cid:durableId="891382313">
    <w:abstractNumId w:val="4"/>
  </w:num>
  <w:num w:numId="4" w16cid:durableId="1487624116">
    <w:abstractNumId w:val="11"/>
  </w:num>
  <w:num w:numId="5" w16cid:durableId="1625968360">
    <w:abstractNumId w:val="8"/>
  </w:num>
  <w:num w:numId="6" w16cid:durableId="2125147284">
    <w:abstractNumId w:val="9"/>
  </w:num>
  <w:num w:numId="7" w16cid:durableId="1016617650">
    <w:abstractNumId w:val="10"/>
  </w:num>
  <w:num w:numId="8" w16cid:durableId="677580857">
    <w:abstractNumId w:val="3"/>
  </w:num>
  <w:num w:numId="9" w16cid:durableId="717822432">
    <w:abstractNumId w:val="0"/>
  </w:num>
  <w:num w:numId="10" w16cid:durableId="148644167">
    <w:abstractNumId w:val="7"/>
  </w:num>
  <w:num w:numId="11" w16cid:durableId="1361080774">
    <w:abstractNumId w:val="6"/>
  </w:num>
  <w:num w:numId="12" w16cid:durableId="398596635">
    <w:abstractNumId w:val="2"/>
  </w:num>
  <w:num w:numId="13" w16cid:durableId="1738942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F5"/>
    <w:rsid w:val="008A250E"/>
    <w:rsid w:val="008E66F5"/>
    <w:rsid w:val="00945FB4"/>
    <w:rsid w:val="00B361BC"/>
    <w:rsid w:val="00C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CF3F"/>
  <w15:chartTrackingRefBased/>
  <w15:docId w15:val="{6C5E8281-EE93-4C61-ADCD-ACF3D78C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Gupta</dc:creator>
  <cp:keywords/>
  <dc:description/>
  <cp:lastModifiedBy>Atharv Gupta</cp:lastModifiedBy>
  <cp:revision>1</cp:revision>
  <dcterms:created xsi:type="dcterms:W3CDTF">2025-07-26T17:32:00Z</dcterms:created>
  <dcterms:modified xsi:type="dcterms:W3CDTF">2025-07-26T17:35:00Z</dcterms:modified>
</cp:coreProperties>
</file>