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fef057159ab9f1784a7bd01fe0ba48870907d9a"/>
    <w:p>
      <w:pPr>
        <w:pStyle w:val="Heading1"/>
      </w:pPr>
      <w:r>
        <w:t xml:space="preserve">ZFORECAST — Transactions and what each one does</w:t>
      </w:r>
    </w:p>
    <w:p>
      <w:pPr>
        <w:pStyle w:val="FirstParagraph"/>
      </w:pPr>
      <w:r>
        <w:t xml:space="preserve">Astral Limited / Project UDAY (KPMG) · Adhesive and Paints forecasting · PP / SD</w:t>
      </w:r>
      <w:r>
        <w:t xml:space="preserve"> </w:t>
      </w:r>
      <w:r>
        <w:t xml:space="preserve">Knowledge transfer note, prepared 19.10.2026 by Arnav Johri. Development system only; nothing is transported yet.</w:t>
      </w:r>
    </w:p>
    <w:bookmarkStart w:id="20" w:name="business-transactions"/>
    <w:p>
      <w:pPr>
        <w:pStyle w:val="Heading2"/>
      </w:pPr>
      <w:r>
        <w:t xml:space="preserve">1. Business transactions</w:t>
      </w:r>
    </w:p>
    <w:tbl>
      <w:tblPr>
        <w:tblStyle w:val="Table"/>
        <w:tblW w:type="pct" w:w="5000"/>
        <w:tblLook w:firstRow="1" w:lastRow="0" w:firstColumn="0" w:lastColumn="0" w:noHBand="0" w:noVBand="0" w:val="0020"/>
        <w:jc w:val="start"/>
      </w:tblPr>
      <w:tblGrid>
        <w:gridCol w:w="1113"/>
        <w:gridCol w:w="1856"/>
        <w:gridCol w:w="618"/>
        <w:gridCol w:w="4331"/>
      </w:tblGrid>
      <w:tr>
        <w:trPr>
          <w:tblHeader w:val="true"/>
        </w:trPr>
        <w:tc>
          <w:tcPr/>
          <w:p>
            <w:pPr>
              <w:pStyle w:val="Compact"/>
              <w:jc w:val="left"/>
            </w:pPr>
            <w:r>
              <w:t xml:space="preserve">Tcode</w:t>
            </w:r>
          </w:p>
        </w:tc>
        <w:tc>
          <w:tcPr/>
          <w:p>
            <w:pPr>
              <w:pStyle w:val="Compact"/>
              <w:jc w:val="left"/>
            </w:pPr>
            <w:r>
              <w:t xml:space="preserve">Program / class behind it</w:t>
            </w:r>
          </w:p>
        </w:tc>
        <w:tc>
          <w:tcPr/>
          <w:p>
            <w:pPr>
              <w:pStyle w:val="Compact"/>
              <w:jc w:val="left"/>
            </w:pPr>
            <w:r>
              <w:t xml:space="preserve">Division</w:t>
            </w:r>
          </w:p>
        </w:tc>
        <w:tc>
          <w:tcPr/>
          <w:p>
            <w:pPr>
              <w:pStyle w:val="Compact"/>
              <w:jc w:val="left"/>
            </w:pPr>
            <w:r>
              <w:t xml:space="preserve">What it does</w:t>
            </w:r>
          </w:p>
        </w:tc>
      </w:tr>
      <w:tr>
        <w:tc>
          <w:tcPr/>
          <w:p>
            <w:pPr>
              <w:pStyle w:val="Compact"/>
              <w:jc w:val="left"/>
            </w:pPr>
            <w:r>
              <w:rPr>
                <w:bCs/>
                <w:b/>
              </w:rPr>
              <w:t xml:space="preserve">ZFCST</w:t>
            </w:r>
          </w:p>
        </w:tc>
        <w:tc>
          <w:tcPr/>
          <w:p>
            <w:pPr>
              <w:pStyle w:val="Compact"/>
              <w:jc w:val="left"/>
            </w:pPr>
            <w:r>
              <w:rPr>
                <w:rStyle w:val="VerbatimChar"/>
              </w:rPr>
              <w:t xml:space="preserve">ZPP_FORECAST</w:t>
            </w:r>
            <w:r>
              <w:t xml:space="preserve"> </w:t>
            </w:r>
            <w:r>
              <w:t xml:space="preserve">· engine</w:t>
            </w:r>
            <w:r>
              <w:t xml:space="preserve"> </w:t>
            </w:r>
            <w:r>
              <w:rPr>
                <w:rStyle w:val="VerbatimChar"/>
              </w:rPr>
              <w:t xml:space="preserve">ZCL_PP_FCST</w:t>
            </w:r>
            <w:r>
              <w:t xml:space="preserve"> </w:t>
            </w:r>
            <w:r>
              <w:t xml:space="preserve">· helpers</w:t>
            </w:r>
            <w:r>
              <w:t xml:space="preserve"> </w:t>
            </w:r>
            <w:r>
              <w:rPr>
                <w:rStyle w:val="VerbatimChar"/>
              </w:rPr>
              <w:t xml:space="preserve">ZCL_PP_FCST_UTIL</w:t>
            </w:r>
          </w:p>
        </w:tc>
        <w:tc>
          <w:tcPr/>
          <w:p>
            <w:pPr>
              <w:pStyle w:val="Compact"/>
              <w:jc w:val="left"/>
            </w:pPr>
            <w:r>
              <w:t xml:space="preserve">Adhesive</w:t>
            </w:r>
          </w:p>
        </w:tc>
        <w:tc>
          <w:tcPr/>
          <w:p>
            <w:pPr>
              <w:pStyle w:val="Compact"/>
              <w:jc w:val="left"/>
            </w:pPr>
            <w:r>
              <w:t xml:space="preserve">Forecast generation, three radio buttons.</w:t>
            </w:r>
            <w:r>
              <w:t xml:space="preserve"> </w:t>
            </w:r>
            <w:r>
              <w:rPr>
                <w:bCs/>
                <w:b/>
              </w:rPr>
              <w:t xml:space="preserve">Annual</w:t>
            </w:r>
            <w:r>
              <w:t xml:space="preserve">: last year’s month × load factor, twelve months.</w:t>
            </w:r>
            <w:r>
              <w:t xml:space="preserve"> </w:t>
            </w:r>
            <w:r>
              <w:rPr>
                <w:bCs/>
                <w:b/>
              </w:rPr>
              <w:t xml:space="preserve">Quarterly</w:t>
            </w:r>
            <w:r>
              <w:t xml:space="preserve">: higher of last year’s same quarter and the current last three months, × load factor, then higher of that and the business forecast, split into the three months.</w:t>
            </w:r>
            <w:r>
              <w:t xml:space="preserve"> </w:t>
            </w:r>
            <w:r>
              <w:rPr>
                <w:bCs/>
                <w:b/>
              </w:rPr>
              <w:t xml:space="preserve">Monthly</w:t>
            </w:r>
            <w:r>
              <w:t xml:space="preserve">: higher of last year’s same month and the last-three-month average × load factor, then higher of that and the business forecast. Selection: plant, material, financial year (2026-2027), quarter or month or date range, Tonnage Wise, Legacy Data. History from billing (VBRK/VBRP), returns excluded; old material codes absorbed into the successor; uploaded history fills the gaps. SALV list; select rows and press Save to write</w:t>
            </w:r>
            <w:r>
              <w:t xml:space="preserve"> </w:t>
            </w:r>
            <w:r>
              <w:rPr>
                <w:rStyle w:val="VerbatimChar"/>
              </w:rPr>
              <w:t xml:space="preserve">ZPPT_FCST_YR</w:t>
            </w:r>
            <w:r>
              <w:t xml:space="preserve"> </w:t>
            </w:r>
            <w:r>
              <w:t xml:space="preserve">/</w:t>
            </w:r>
            <w:r>
              <w:t xml:space="preserve"> </w:t>
            </w:r>
            <w:r>
              <w:rPr>
                <w:rStyle w:val="VerbatimChar"/>
              </w:rPr>
              <w:t xml:space="preserve">_QT</w:t>
            </w:r>
            <w:r>
              <w:t xml:space="preserve"> </w:t>
            </w:r>
            <w:r>
              <w:t xml:space="preserve">/</w:t>
            </w:r>
            <w:r>
              <w:t xml:space="preserve"> </w:t>
            </w:r>
            <w:r>
              <w:rPr>
                <w:rStyle w:val="VerbatimChar"/>
              </w:rPr>
              <w:t xml:space="preserve">_MN</w:t>
            </w:r>
            <w:r>
              <w:t xml:space="preserve"> </w:t>
            </w:r>
            <w:r>
              <w:t xml:space="preserve">under one forecast number per plant, material and year. Export to a tab file.</w:t>
            </w:r>
          </w:p>
        </w:tc>
      </w:tr>
      <w:tr>
        <w:tc>
          <w:tcPr/>
          <w:p>
            <w:pPr>
              <w:pStyle w:val="Compact"/>
              <w:jc w:val="left"/>
            </w:pPr>
            <w:r>
              <w:rPr>
                <w:bCs/>
                <w:b/>
              </w:rPr>
              <w:t xml:space="preserve">ZFCST_UPL</w:t>
            </w:r>
          </w:p>
        </w:tc>
        <w:tc>
          <w:tcPr/>
          <w:p>
            <w:pPr>
              <w:pStyle w:val="Compact"/>
              <w:jc w:val="left"/>
            </w:pPr>
            <w:r>
              <w:rPr>
                <w:rStyle w:val="VerbatimChar"/>
              </w:rPr>
              <w:t xml:space="preserve">ZPP_FORECAST_UPLOAD</w:t>
            </w:r>
          </w:p>
        </w:tc>
        <w:tc>
          <w:tcPr/>
          <w:p>
            <w:pPr>
              <w:pStyle w:val="Compact"/>
              <w:jc w:val="left"/>
            </w:pPr>
            <w:r>
              <w:t xml:space="preserve">Adhesive and Paints</w:t>
            </w:r>
          </w:p>
        </w:tc>
        <w:tc>
          <w:tcPr/>
          <w:p>
            <w:pPr>
              <w:pStyle w:val="Compact"/>
              <w:jc w:val="left"/>
            </w:pPr>
            <w:r>
              <w:t xml:space="preserve">Eight uploads, each radio button with its own Download Template button: Product Category (plant, material, category, load factor, MTS/MTO), Material Tracking (new code and up to five old codes), Material Exclusion, Legacy Sales History (twelve months per plant, material, year), Business Forecast Quarterly, Business Forecast Monthly (MSL in column 6), Forecast Change Quarterly (Month 1, 2 or 3 within the quarter, with reason), Forecast Change Monthly. Reads Excel, CSV or tab text. Test run ticked by default; row-by-row result list; good rows are saved even when others are rejected. Paints uses it for everything except product category and brand.</w:t>
            </w:r>
          </w:p>
        </w:tc>
      </w:tr>
      <w:tr>
        <w:tc>
          <w:tcPr/>
          <w:p>
            <w:pPr>
              <w:pStyle w:val="Compact"/>
              <w:jc w:val="left"/>
            </w:pPr>
            <w:r>
              <w:rPr>
                <w:bCs/>
                <w:b/>
              </w:rPr>
              <w:t xml:space="preserve">ZFCST_RPT</w:t>
            </w:r>
          </w:p>
        </w:tc>
        <w:tc>
          <w:tcPr/>
          <w:p>
            <w:pPr>
              <w:pStyle w:val="Compact"/>
              <w:jc w:val="left"/>
            </w:pPr>
            <w:r>
              <w:rPr>
                <w:rStyle w:val="VerbatimChar"/>
              </w:rPr>
              <w:t xml:space="preserve">ZPP_FORECAST_REPORT</w:t>
            </w:r>
          </w:p>
        </w:tc>
        <w:tc>
          <w:tcPr/>
          <w:p>
            <w:pPr>
              <w:pStyle w:val="Compact"/>
              <w:jc w:val="left"/>
            </w:pPr>
            <w:r>
              <w:t xml:space="preserve">Adhesive and Paints</w:t>
            </w:r>
          </w:p>
        </w:tc>
        <w:tc>
          <w:tcPr/>
          <w:p>
            <w:pPr>
              <w:pStyle w:val="Compact"/>
              <w:jc w:val="left"/>
            </w:pPr>
            <w:r>
              <w:t xml:space="preserve">Final forecast report by plant, material, financial year, forecast number, material group, quarter and period: annual, quarterly, additional, total quarter, monthly, additional, MSL, total month, MTS/MTO, price. Plant selection separates the divisions.</w:t>
            </w:r>
          </w:p>
        </w:tc>
      </w:tr>
      <w:tr>
        <w:tc>
          <w:tcPr/>
          <w:p>
            <w:pPr>
              <w:pStyle w:val="Compact"/>
              <w:jc w:val="left"/>
            </w:pPr>
            <w:r>
              <w:rPr>
                <w:bCs/>
                <w:b/>
              </w:rPr>
              <w:t xml:space="preserve">ZFCST_PAINTS</w:t>
            </w:r>
          </w:p>
        </w:tc>
        <w:tc>
          <w:tcPr/>
          <w:p>
            <w:pPr>
              <w:pStyle w:val="Compact"/>
              <w:jc w:val="left"/>
            </w:pPr>
            <w:r>
              <w:rPr>
                <w:rStyle w:val="VerbatimChar"/>
              </w:rPr>
              <w:t xml:space="preserve">ZPP_FORECAST_PAINTS</w:t>
            </w:r>
            <w:r>
              <w:t xml:space="preserve"> </w:t>
            </w:r>
            <w:r>
              <w:t xml:space="preserve">·</w:t>
            </w:r>
            <w:r>
              <w:t xml:space="preserve"> </w:t>
            </w:r>
            <w:r>
              <w:rPr>
                <w:rStyle w:val="VerbatimChar"/>
              </w:rPr>
              <w:t xml:space="preserve">ZCL_PP_FCST_PNT</w:t>
            </w:r>
            <w:r>
              <w:t xml:space="preserve"> </w:t>
            </w:r>
            <w:r>
              <w:t xml:space="preserve">on top of the same engine</w:t>
            </w:r>
          </w:p>
        </w:tc>
        <w:tc>
          <w:tcPr/>
          <w:p>
            <w:pPr>
              <w:pStyle w:val="Compact"/>
              <w:jc w:val="left"/>
            </w:pPr>
            <w:r>
              <w:t xml:space="preserve">Paints</w:t>
            </w:r>
          </w:p>
        </w:tc>
        <w:tc>
          <w:tcPr/>
          <w:p>
            <w:pPr>
              <w:pStyle w:val="Compact"/>
              <w:jc w:val="left"/>
            </w:pPr>
            <w:r>
              <w:t xml:space="preserve">Same three modes and the same arithmetic, saved into the same tables. The list follows the Paints template: plant name, brand, MTS/MTO/DIS/TIN, material groups 1, 2 and 5, pack size, DPL, quantity per carton, forecast per month, volume in KL, value in crores, tonnage on gross weight. The Adhesive working columns are hidden but available through Change Layout.</w:t>
            </w:r>
          </w:p>
        </w:tc>
      </w:tr>
      <w:tr>
        <w:tc>
          <w:tcPr/>
          <w:p>
            <w:pPr>
              <w:pStyle w:val="Compact"/>
              <w:jc w:val="left"/>
            </w:pPr>
            <w:r>
              <w:rPr>
                <w:bCs/>
                <w:b/>
              </w:rPr>
              <w:t xml:space="preserve">ZFCST_PAINTS_UPL</w:t>
            </w:r>
          </w:p>
        </w:tc>
        <w:tc>
          <w:tcPr/>
          <w:p>
            <w:pPr>
              <w:pStyle w:val="Compact"/>
              <w:jc w:val="left"/>
            </w:pPr>
            <w:r>
              <w:rPr>
                <w:rStyle w:val="VerbatimChar"/>
              </w:rPr>
              <w:t xml:space="preserve">ZPP_FORECAST_PAINTS_UPL</w:t>
            </w:r>
          </w:p>
        </w:tc>
        <w:tc>
          <w:tcPr/>
          <w:p>
            <w:pPr>
              <w:pStyle w:val="Compact"/>
              <w:jc w:val="left"/>
            </w:pPr>
            <w:r>
              <w:t xml:space="preserve">Paints</w:t>
            </w:r>
          </w:p>
        </w:tc>
        <w:tc>
          <w:tcPr/>
          <w:p>
            <w:pPr>
              <w:pStyle w:val="Compact"/>
              <w:jc w:val="left"/>
            </w:pPr>
            <w:r>
              <w:t xml:space="preserve">Two uploads: Product Category with the indicator MTS, MTO, DIS or TIN (the Adhesive upload takes MTS and MTO only), and Brand (plant, material, brand into</w:t>
            </w:r>
            <w:r>
              <w:t xml:space="preserve"> </w:t>
            </w:r>
            <w:r>
              <w:rPr>
                <w:rStyle w:val="VerbatimChar"/>
              </w:rPr>
              <w:t xml:space="preserve">ZPPT_BRAND</w:t>
            </w:r>
            <w:r>
              <w:t xml:space="preserve">). Same file handling and result list as ZFCST_UPL.</w:t>
            </w:r>
          </w:p>
        </w:tc>
      </w:tr>
    </w:tbl>
    <w:bookmarkEnd w:id="20"/>
    <w:bookmarkStart w:id="21" w:name="configuration-and-support-transactions"/>
    <w:p>
      <w:pPr>
        <w:pStyle w:val="Heading2"/>
      </w:pPr>
      <w:r>
        <w:t xml:space="preserve">2. Configuration and support transactions</w:t>
      </w:r>
    </w:p>
    <w:tbl>
      <w:tblPr>
        <w:tblStyle w:val="Table"/>
        <w:tblW w:type="pct" w:w="5000"/>
        <w:tblLook w:firstRow="1" w:lastRow="0" w:firstColumn="0" w:lastColumn="0" w:noHBand="0" w:noVBand="0" w:val="0020"/>
        <w:jc w:val="start"/>
      </w:tblPr>
      <w:tblGrid>
        <w:gridCol w:w="2689"/>
        <w:gridCol w:w="5230"/>
      </w:tblGrid>
      <w:tr>
        <w:trPr>
          <w:tblHeader w:val="true"/>
        </w:trPr>
        <w:tc>
          <w:tcPr/>
          <w:p>
            <w:pPr>
              <w:pStyle w:val="Compact"/>
              <w:jc w:val="left"/>
            </w:pPr>
            <w:r>
              <w:t xml:space="preserve">Tcode / object</w:t>
            </w:r>
          </w:p>
        </w:tc>
        <w:tc>
          <w:tcPr/>
          <w:p>
            <w:pPr>
              <w:pStyle w:val="Compact"/>
              <w:jc w:val="left"/>
            </w:pPr>
            <w:r>
              <w:t xml:space="preserve">What it is for</w:t>
            </w:r>
          </w:p>
        </w:tc>
      </w:tr>
      <w:tr>
        <w:tc>
          <w:tcPr/>
          <w:p>
            <w:pPr>
              <w:pStyle w:val="Compact"/>
              <w:jc w:val="left"/>
            </w:pPr>
            <w:r>
              <w:rPr>
                <w:bCs/>
                <w:b/>
              </w:rPr>
              <w:t xml:space="preserve">SM30</w:t>
            </w:r>
            <w:r>
              <w:rPr>
                <w:bCs/>
                <w:b/>
              </w:rPr>
              <w:t xml:space="preserve"> </w:t>
            </w:r>
            <w:r>
              <w:rPr>
                <w:rStyle w:val="VerbatimChar"/>
                <w:bCs/>
                <w:b/>
              </w:rPr>
              <w:t xml:space="preserve">ZPPV_PROD_CAT</w:t>
            </w:r>
            <w:r>
              <w:t xml:space="preserve"> </w:t>
            </w:r>
            <w:r>
              <w:t xml:space="preserve">(</w:t>
            </w:r>
            <w:r>
              <w:rPr>
                <w:rStyle w:val="VerbatimChar"/>
              </w:rPr>
              <w:t xml:space="preserve">ZPPT_PROD_CAT</w:t>
            </w:r>
            <w:r>
              <w:t xml:space="preserve">)</w:t>
            </w:r>
          </w:p>
        </w:tc>
        <w:tc>
          <w:tcPr/>
          <w:p>
            <w:pPr>
              <w:pStyle w:val="Compact"/>
              <w:jc w:val="left"/>
            </w:pPr>
            <w:r>
              <w:t xml:space="preserve">Product category, load factor and MTS/MTO per plant and material. Also loaded by upload.</w:t>
            </w:r>
          </w:p>
        </w:tc>
      </w:tr>
      <w:tr>
        <w:tc>
          <w:tcPr/>
          <w:p>
            <w:pPr>
              <w:pStyle w:val="Compact"/>
              <w:jc w:val="left"/>
            </w:pPr>
            <w:r>
              <w:rPr>
                <w:bCs/>
                <w:b/>
              </w:rPr>
              <w:t xml:space="preserve">SM30</w:t>
            </w:r>
            <w:r>
              <w:rPr>
                <w:bCs/>
                <w:b/>
              </w:rPr>
              <w:t xml:space="preserve"> </w:t>
            </w:r>
            <w:r>
              <w:rPr>
                <w:rStyle w:val="VerbatimChar"/>
                <w:bCs/>
                <w:b/>
              </w:rPr>
              <w:t xml:space="preserve">ZPPV_MAT_TRACK</w:t>
            </w:r>
            <w:r>
              <w:t xml:space="preserve"> </w:t>
            </w:r>
            <w:r>
              <w:t xml:space="preserve">(</w:t>
            </w:r>
            <w:r>
              <w:rPr>
                <w:rStyle w:val="VerbatimChar"/>
              </w:rPr>
              <w:t xml:space="preserve">ZPPT_MAT_TRACK</w:t>
            </w:r>
            <w:r>
              <w:t xml:space="preserve">)</w:t>
            </w:r>
          </w:p>
        </w:tc>
        <w:tc>
          <w:tcPr/>
          <w:p>
            <w:pPr>
              <w:pStyle w:val="Compact"/>
              <w:jc w:val="left"/>
            </w:pPr>
            <w:r>
              <w:t xml:space="preserve">New material code with up to five old codes per plant. The old codes’ history is shown under the new code.</w:t>
            </w:r>
          </w:p>
        </w:tc>
      </w:tr>
      <w:tr>
        <w:tc>
          <w:tcPr/>
          <w:p>
            <w:pPr>
              <w:pStyle w:val="Compact"/>
              <w:jc w:val="left"/>
            </w:pPr>
            <w:r>
              <w:rPr>
                <w:bCs/>
                <w:b/>
              </w:rPr>
              <w:t xml:space="preserve">SM30</w:t>
            </w:r>
            <w:r>
              <w:rPr>
                <w:bCs/>
                <w:b/>
              </w:rPr>
              <w:t xml:space="preserve"> </w:t>
            </w:r>
            <w:r>
              <w:rPr>
                <w:rStyle w:val="VerbatimChar"/>
                <w:bCs/>
                <w:b/>
              </w:rPr>
              <w:t xml:space="preserve">ZPPV_MAT_EXCL</w:t>
            </w:r>
            <w:r>
              <w:t xml:space="preserve"> </w:t>
            </w:r>
            <w:r>
              <w:t xml:space="preserve">(</w:t>
            </w:r>
            <w:r>
              <w:rPr>
                <w:rStyle w:val="VerbatimChar"/>
              </w:rPr>
              <w:t xml:space="preserve">ZPPT_MAT_EXCL</w:t>
            </w:r>
            <w:r>
              <w:t xml:space="preserve">)</w:t>
            </w:r>
          </w:p>
        </w:tc>
        <w:tc>
          <w:tcPr/>
          <w:p>
            <w:pPr>
              <w:pStyle w:val="Compact"/>
              <w:jc w:val="left"/>
            </w:pPr>
            <w:r>
              <w:t xml:space="preserve">Materials left out of forecasting, per plant.</w:t>
            </w:r>
          </w:p>
        </w:tc>
      </w:tr>
      <w:tr>
        <w:tc>
          <w:tcPr/>
          <w:p>
            <w:pPr>
              <w:pStyle w:val="Compact"/>
              <w:jc w:val="left"/>
            </w:pPr>
            <w:r>
              <w:rPr>
                <w:bCs/>
                <w:b/>
              </w:rPr>
              <w:t xml:space="preserve">SM30</w:t>
            </w:r>
            <w:r>
              <w:rPr>
                <w:bCs/>
                <w:b/>
              </w:rPr>
              <w:t xml:space="preserve"> </w:t>
            </w:r>
            <w:r>
              <w:rPr>
                <w:rStyle w:val="VerbatimChar"/>
                <w:bCs/>
                <w:b/>
              </w:rPr>
              <w:t xml:space="preserve">ZPPV_FCST_CFG</w:t>
            </w:r>
            <w:r>
              <w:t xml:space="preserve"> </w:t>
            </w:r>
            <w:r>
              <w:t xml:space="preserve">(</w:t>
            </w:r>
            <w:r>
              <w:rPr>
                <w:rStyle w:val="VerbatimChar"/>
              </w:rPr>
              <w:t xml:space="preserve">ZPPT_FCST_CFG</w:t>
            </w:r>
            <w:r>
              <w:t xml:space="preserve">)</w:t>
            </w:r>
          </w:p>
        </w:tc>
        <w:tc>
          <w:tcPr/>
          <w:p>
            <w:pPr>
              <w:pStyle w:val="Compact"/>
              <w:jc w:val="left"/>
            </w:pPr>
            <w:r>
              <w:t xml:space="preserve">One row per plant: sales organisation for the material-group reads (Adhesive 1100, Paints 4000), TVARVC name of the legacy-user list, movement type (no longer used). A Paints plant without a row logs message 018 and uses 4000.</w:t>
            </w:r>
          </w:p>
        </w:tc>
      </w:tr>
      <w:tr>
        <w:tc>
          <w:tcPr/>
          <w:p>
            <w:pPr>
              <w:pStyle w:val="Compact"/>
              <w:jc w:val="left"/>
            </w:pPr>
            <w:r>
              <w:rPr>
                <w:bCs/>
                <w:b/>
              </w:rPr>
              <w:t xml:space="preserve">SM30</w:t>
            </w:r>
            <w:r>
              <w:rPr>
                <w:bCs/>
                <w:b/>
              </w:rPr>
              <w:t xml:space="preserve"> </w:t>
            </w:r>
            <w:r>
              <w:rPr>
                <w:rStyle w:val="VerbatimChar"/>
                <w:bCs/>
                <w:b/>
              </w:rPr>
              <w:t xml:space="preserve">ZPPV_BRAND</w:t>
            </w:r>
            <w:r>
              <w:t xml:space="preserve"> </w:t>
            </w:r>
            <w:r>
              <w:t xml:space="preserve">(</w:t>
            </w:r>
            <w:r>
              <w:rPr>
                <w:rStyle w:val="VerbatimChar"/>
              </w:rPr>
              <w:t xml:space="preserve">ZPPT_BRAND</w:t>
            </w:r>
            <w:r>
              <w:t xml:space="preserve">, view still to be generated in SE54)</w:t>
            </w:r>
          </w:p>
        </w:tc>
        <w:tc>
          <w:tcPr/>
          <w:p>
            <w:pPr>
              <w:pStyle w:val="Compact"/>
              <w:jc w:val="left"/>
            </w:pPr>
            <w:r>
              <w:t xml:space="preserve">Brand per plant and material. Also loaded by ZFCST_PAINTS_UPL.</w:t>
            </w:r>
          </w:p>
        </w:tc>
      </w:tr>
      <w:tr>
        <w:tc>
          <w:tcPr/>
          <w:p>
            <w:pPr>
              <w:pStyle w:val="Compact"/>
              <w:jc w:val="left"/>
            </w:pPr>
            <w:r>
              <w:rPr>
                <w:bCs/>
                <w:b/>
              </w:rPr>
              <w:t xml:space="preserve">STVARV</w:t>
            </w:r>
          </w:p>
        </w:tc>
        <w:tc>
          <w:tcPr/>
          <w:p>
            <w:pPr>
              <w:pStyle w:val="Compact"/>
              <w:jc w:val="left"/>
            </w:pPr>
            <w:r>
              <w:rPr>
                <w:rStyle w:val="VerbatimChar"/>
              </w:rPr>
              <w:t xml:space="preserve">ZPP_FORECAST_MTART</w:t>
            </w:r>
            <w:r>
              <w:t xml:space="preserve"> </w:t>
            </w:r>
            <w:r>
              <w:t xml:space="preserve">(selection variable, FERT and HAWA): material types the lists are restricted to.</w:t>
            </w:r>
            <w:r>
              <w:t xml:space="preserve"> </w:t>
            </w:r>
            <w:r>
              <w:rPr>
                <w:rStyle w:val="VerbatimChar"/>
              </w:rPr>
              <w:t xml:space="preserve">ZPP_FCST_LEGACY</w:t>
            </w:r>
            <w:r>
              <w:t xml:space="preserve"> </w:t>
            </w:r>
            <w:r>
              <w:t xml:space="preserve">(parameter, X or blank): whether the Legacy Data checkbox is drawn at all. The per-plant legacy-user list named in</w:t>
            </w:r>
            <w:r>
              <w:t xml:space="preserve"> </w:t>
            </w:r>
            <w:r>
              <w:rPr>
                <w:rStyle w:val="VerbatimChar"/>
              </w:rPr>
              <w:t xml:space="preserve">ZPPT_FCST_CFG</w:t>
            </w:r>
            <w:r>
              <w:t xml:space="preserve">. All client-specific.</w:t>
            </w:r>
          </w:p>
        </w:tc>
      </w:tr>
      <w:tr>
        <w:tc>
          <w:tcPr/>
          <w:p>
            <w:pPr>
              <w:pStyle w:val="Compact"/>
              <w:jc w:val="left"/>
            </w:pPr>
            <w:r>
              <w:rPr>
                <w:bCs/>
                <w:b/>
              </w:rPr>
              <w:t xml:space="preserve">SNRO</w:t>
            </w:r>
            <w:r>
              <w:rPr>
                <w:bCs/>
                <w:b/>
              </w:rPr>
              <w:t xml:space="preserve"> </w:t>
            </w:r>
            <w:r>
              <w:rPr>
                <w:rStyle w:val="VerbatimChar"/>
                <w:bCs/>
                <w:b/>
              </w:rPr>
              <w:t xml:space="preserve">ZPPFCST</w:t>
            </w:r>
          </w:p>
        </w:tc>
        <w:tc>
          <w:tcPr/>
          <w:p>
            <w:pPr>
              <w:pStyle w:val="Compact"/>
              <w:jc w:val="left"/>
            </w:pPr>
            <w:r>
              <w:t xml:space="preserve">Forecast number range, one interval per financial year, named by the last two digits of the starting year. Drawn on the first save of a plant, material and year, reused afterwards.</w:t>
            </w:r>
          </w:p>
        </w:tc>
      </w:tr>
      <w:tr>
        <w:tc>
          <w:tcPr/>
          <w:p>
            <w:pPr>
              <w:pStyle w:val="Compact"/>
              <w:jc w:val="left"/>
            </w:pPr>
            <w:r>
              <w:rPr>
                <w:bCs/>
                <w:b/>
              </w:rPr>
              <w:t xml:space="preserve">SE91</w:t>
            </w:r>
            <w:r>
              <w:rPr>
                <w:bCs/>
                <w:b/>
              </w:rPr>
              <w:t xml:space="preserve"> </w:t>
            </w:r>
            <w:r>
              <w:rPr>
                <w:rStyle w:val="VerbatimChar"/>
                <w:bCs/>
                <w:b/>
              </w:rPr>
              <w:t xml:space="preserve">ZPP_FCST</w:t>
            </w:r>
          </w:p>
        </w:tc>
        <w:tc>
          <w:tcPr/>
          <w:p>
            <w:pPr>
              <w:pStyle w:val="Compact"/>
              <w:jc w:val="left"/>
            </w:pPr>
            <w:r>
              <w:t xml:space="preserve">Messages 001 to 026 for all five programs.</w:t>
            </w:r>
          </w:p>
        </w:tc>
      </w:tr>
      <w:tr>
        <w:tc>
          <w:tcPr/>
          <w:p>
            <w:pPr>
              <w:pStyle w:val="Compact"/>
              <w:jc w:val="left"/>
            </w:pPr>
            <w:r>
              <w:rPr>
                <w:bCs/>
                <w:b/>
              </w:rPr>
              <w:t xml:space="preserve">SU21</w:t>
            </w:r>
            <w:r>
              <w:rPr>
                <w:bCs/>
                <w:b/>
              </w:rPr>
              <w:t xml:space="preserve"> </w:t>
            </w:r>
            <w:r>
              <w:rPr>
                <w:rStyle w:val="VerbatimChar"/>
                <w:bCs/>
                <w:b/>
              </w:rPr>
              <w:t xml:space="preserve">ZPP_FCST</w:t>
            </w:r>
          </w:p>
        </w:tc>
        <w:tc>
          <w:tcPr/>
          <w:p>
            <w:pPr>
              <w:pStyle w:val="Compact"/>
              <w:jc w:val="left"/>
            </w:pPr>
            <w:r>
              <w:t xml:space="preserve">Authorisation object, fields WERKS and ACTVT (01 save, 02 upload, 03 display).</w:t>
            </w:r>
            <w:r>
              <w:t xml:space="preserve"> </w:t>
            </w:r>
            <w:r>
              <w:rPr>
                <w:bCs/>
                <w:b/>
              </w:rPr>
              <w:t xml:space="preserve">Both checks are bypassed in</w:t>
            </w:r>
            <w:r>
              <w:rPr>
                <w:bCs/>
                <w:b/>
              </w:rPr>
              <w:t xml:space="preserve"> </w:t>
            </w:r>
            <w:r>
              <w:rPr>
                <w:rStyle w:val="VerbatimChar"/>
                <w:bCs/>
                <w:b/>
              </w:rPr>
              <w:t xml:space="preserve">ZCL_PP_FCST_UTIL</w:t>
            </w:r>
            <w:r>
              <w:rPr>
                <w:bCs/>
                <w:b/>
              </w:rPr>
              <w:t xml:space="preserve"> </w:t>
            </w:r>
            <w:r>
              <w:rPr>
                <w:bCs/>
                <w:b/>
              </w:rPr>
              <w:t xml:space="preserve">since 07/09/26 for testing and must be restored before release.</w:t>
            </w:r>
          </w:p>
        </w:tc>
      </w:tr>
      <w:tr>
        <w:tc>
          <w:tcPr/>
          <w:p>
            <w:pPr>
              <w:pStyle w:val="Compact"/>
              <w:jc w:val="left"/>
            </w:pPr>
            <w:r>
              <w:rPr>
                <w:bCs/>
                <w:b/>
              </w:rPr>
              <w:t xml:space="preserve">SLG1</w:t>
            </w:r>
            <w:r>
              <w:t xml:space="preserve"> </w:t>
            </w:r>
            <w:r>
              <w:t xml:space="preserve">object</w:t>
            </w:r>
            <w:r>
              <w:t xml:space="preserve"> </w:t>
            </w:r>
            <w:r>
              <w:rPr>
                <w:rStyle w:val="VerbatimChar"/>
              </w:rPr>
              <w:t xml:space="preserve">ZPP_FCST</w:t>
            </w:r>
            <w:r>
              <w:t xml:space="preserve">, subobject</w:t>
            </w:r>
            <w:r>
              <w:t xml:space="preserve"> </w:t>
            </w:r>
            <w:r>
              <w:rPr>
                <w:rStyle w:val="VerbatimChar"/>
              </w:rPr>
              <w:t xml:space="preserve">GENERATE</w:t>
            </w:r>
          </w:p>
        </w:tc>
        <w:tc>
          <w:tcPr/>
          <w:p>
            <w:pPr>
              <w:pStyle w:val="Compact"/>
              <w:jc w:val="left"/>
            </w:pPr>
            <w:r>
              <w:t xml:space="preserve">Application log of every ZFCST and ZFCST_PAINTS run: missing category, load factor defaulted, superseded code shown under its successor, configuration missing.</w:t>
            </w:r>
          </w:p>
        </w:tc>
      </w:tr>
      <w:tr>
        <w:tc>
          <w:tcPr/>
          <w:p>
            <w:pPr>
              <w:pStyle w:val="Compact"/>
              <w:jc w:val="left"/>
            </w:pPr>
            <w:r>
              <w:rPr>
                <w:bCs/>
                <w:b/>
              </w:rPr>
              <w:t xml:space="preserve">SE41</w:t>
            </w:r>
            <w:r>
              <w:t xml:space="preserve"> </w:t>
            </w:r>
            <w:r>
              <w:rPr>
                <w:rStyle w:val="VerbatimChar"/>
              </w:rPr>
              <w:t xml:space="preserve">PF_STATUS</w:t>
            </w:r>
            <w:r>
              <w:t xml:space="preserve"> </w:t>
            </w:r>
            <w:r>
              <w:t xml:space="preserve">of</w:t>
            </w:r>
            <w:r>
              <w:t xml:space="preserve"> </w:t>
            </w:r>
            <w:r>
              <w:rPr>
                <w:rStyle w:val="VerbatimChar"/>
              </w:rPr>
              <w:t xml:space="preserve">ZPP_FORECAST</w:t>
            </w:r>
            <w:r>
              <w:t xml:space="preserve"> </w:t>
            </w:r>
            <w:r>
              <w:t xml:space="preserve">and of</w:t>
            </w:r>
            <w:r>
              <w:t xml:space="preserve"> </w:t>
            </w:r>
            <w:r>
              <w:rPr>
                <w:rStyle w:val="VerbatimChar"/>
              </w:rPr>
              <w:t xml:space="preserve">ZPP_FORECAST_PAINTS</w:t>
            </w:r>
          </w:p>
        </w:tc>
        <w:tc>
          <w:tcPr/>
          <w:p>
            <w:pPr>
              <w:pStyle w:val="Compact"/>
              <w:jc w:val="left"/>
            </w:pPr>
            <w:r>
              <w:t xml:space="preserve">GUI status: SALV_STANDARD plus ZSAVE, ZSELALL, ZDESEL, ZEXCEL. Not serialised by abapGit; the Paints copy is still to be made.</w:t>
            </w:r>
          </w:p>
        </w:tc>
      </w:tr>
      <w:tr>
        <w:tc>
          <w:tcPr/>
          <w:p>
            <w:pPr>
              <w:pStyle w:val="Compact"/>
              <w:jc w:val="left"/>
            </w:pPr>
            <w:r>
              <w:rPr>
                <w:bCs/>
                <w:b/>
              </w:rPr>
              <w:t xml:space="preserve">SE16</w:t>
            </w:r>
            <w:r>
              <w:t xml:space="preserve"> </w:t>
            </w:r>
            <w:r>
              <w:rPr>
                <w:rStyle w:val="VerbatimChar"/>
              </w:rPr>
              <w:t xml:space="preserve">ZPPT_FCST_YR</w:t>
            </w:r>
            <w:r>
              <w:t xml:space="preserve">,</w:t>
            </w:r>
            <w:r>
              <w:t xml:space="preserve"> </w:t>
            </w:r>
            <w:r>
              <w:rPr>
                <w:rStyle w:val="VerbatimChar"/>
              </w:rPr>
              <w:t xml:space="preserve">ZPPT_FCST_QT</w:t>
            </w:r>
            <w:r>
              <w:t xml:space="preserve">,</w:t>
            </w:r>
            <w:r>
              <w:t xml:space="preserve"> </w:t>
            </w:r>
            <w:r>
              <w:rPr>
                <w:rStyle w:val="VerbatimChar"/>
              </w:rPr>
              <w:t xml:space="preserve">ZPPT_FCST_MN</w:t>
            </w:r>
            <w:r>
              <w:t xml:space="preserve">,</w:t>
            </w:r>
            <w:r>
              <w:t xml:space="preserve"> </w:t>
            </w:r>
            <w:r>
              <w:rPr>
                <w:rStyle w:val="VerbatimChar"/>
              </w:rPr>
              <w:t xml:space="preserve">ZPPT_SLS_HIST</w:t>
            </w:r>
          </w:p>
        </w:tc>
        <w:tc>
          <w:tcPr/>
          <w:p>
            <w:pPr>
              <w:pStyle w:val="Compact"/>
              <w:jc w:val="left"/>
            </w:pPr>
            <w:r>
              <w:t xml:space="preserve">Saved annual, quarterly and monthly forecasts, and the uploaded legacy history.</w:t>
            </w:r>
          </w:p>
        </w:tc>
      </w:tr>
    </w:tbl>
    <w:bookmarkEnd w:id="21"/>
    <w:bookmarkStart w:id="22" w:name="X110b6cd9b395fce85710e99b21e97e4834d3c72"/>
    <w:p>
      <w:pPr>
        <w:pStyle w:val="Heading2"/>
      </w:pPr>
      <w:r>
        <w:t xml:space="preserve">3. Three things to know before touching anything</w:t>
      </w:r>
    </w:p>
    <w:p>
      <w:pPr>
        <w:numPr>
          <w:ilvl w:val="0"/>
          <w:numId w:val="1001"/>
        </w:numPr>
        <w:pStyle w:val="Compact"/>
      </w:pPr>
      <w:r>
        <w:t xml:space="preserve">One engine, two front ends.</w:t>
      </w:r>
      <w:r>
        <w:t xml:space="preserve"> </w:t>
      </w:r>
      <w:r>
        <w:rPr>
          <w:rStyle w:val="VerbatimChar"/>
        </w:rPr>
        <w:t xml:space="preserve">ZCL_PP_FCST</w:t>
      </w:r>
      <w:r>
        <w:t xml:space="preserve"> </w:t>
      </w:r>
      <w:r>
        <w:t xml:space="preserve">does every calculation and every save for both divisions. Paints only adds display columns in</w:t>
      </w:r>
      <w:r>
        <w:t xml:space="preserve"> </w:t>
      </w:r>
      <w:r>
        <w:rPr>
          <w:rStyle w:val="VerbatimChar"/>
        </w:rPr>
        <w:t xml:space="preserve">ZCL_PP_FCST_PNT</w:t>
      </w:r>
      <w:r>
        <w:t xml:space="preserve">. A formula change goes into the engine once.</w:t>
      </w:r>
    </w:p>
    <w:p>
      <w:pPr>
        <w:numPr>
          <w:ilvl w:val="0"/>
          <w:numId w:val="1001"/>
        </w:numPr>
        <w:pStyle w:val="Compact"/>
      </w:pPr>
      <w:r>
        <w:t xml:space="preserve">Everything is in the development system only. No transport has been released; the authority bypass above is live.</w:t>
      </w:r>
    </w:p>
    <w:p>
      <w:pPr>
        <w:numPr>
          <w:ilvl w:val="0"/>
          <w:numId w:val="1001"/>
        </w:numPr>
        <w:pStyle w:val="Compact"/>
      </w:pPr>
      <w:r>
        <w:t xml:space="preserve">The repository</w:t>
      </w:r>
      <w:r>
        <w:t xml:space="preserve"> </w:t>
      </w:r>
      <w:r>
        <w:rPr>
          <w:rStyle w:val="VerbatimChar"/>
        </w:rPr>
        <w:t xml:space="preserve">arnavjohri/Diligent</w:t>
      </w:r>
      <w:r>
        <w:t xml:space="preserve">, folders</w:t>
      </w:r>
      <w:r>
        <w:t xml:space="preserve"> </w:t>
      </w:r>
      <w:r>
        <w:rPr>
          <w:rStyle w:val="VerbatimChar"/>
        </w:rPr>
        <w:t xml:space="preserve">kpmg/zpp_forecast_v2</w:t>
      </w:r>
      <w:r>
        <w:t xml:space="preserve"> </w:t>
      </w:r>
      <w:r>
        <w:t xml:space="preserve">(Adhesive) and</w:t>
      </w:r>
      <w:r>
        <w:t xml:space="preserve"> </w:t>
      </w:r>
      <w:r>
        <w:rPr>
          <w:rStyle w:val="VerbatimChar"/>
        </w:rPr>
        <w:t xml:space="preserve">kpmg/zpp_forecast_paints</w:t>
      </w:r>
      <w:r>
        <w:t xml:space="preserve"> </w:t>
      </w:r>
      <w:r>
        <w:t xml:space="preserve">(Paints), holds every source, the issue logs and the technical object lists.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2026-10-19T07:33:35Z</dcterms:created>
  <dcterms:modified xsi:type="dcterms:W3CDTF">2026-10-19T07:33:35Z</dcterms:modified>
</cp:coreProperties>
</file>

<file path=docProps/custom.xml><?xml version="1.0" encoding="utf-8"?>
<Properties xmlns="http://schemas.openxmlformats.org/officeDocument/2006/custom-properties" xmlns:vt="http://schemas.openxmlformats.org/officeDocument/2006/docPropsVTypes"/>
</file>