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 </w:t>
            </w:r>
            <w:r>
              <w:t xml:space="preserve">(DEC 13,3),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 </w:t>
            </w:r>
            <w:r>
              <w:t xml:space="preserve">(DEC 13,4)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— Paints annual, quarterly, monthly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9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per plant. Missing row → message 018 (W) in the run log, 4000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blank,</w:t>
            </w:r>
            <w:r>
              <w:t xml:space="preserve"> </w:t>
            </w: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in the configured sales organisations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494ef7a3e518ec61cdf16e7e3c78f9de4a7affa"/>
    <w:p>
      <w:pPr>
        <w:pStyle w:val="Heading3"/>
      </w:pPr>
      <w:r>
        <w:t xml:space="preserve">4.2a The Paints forecast tables and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rPr>
          <w:rStyle w:val="VerbatimChar"/>
        </w:rPr>
        <w:t xml:space="preserve">ZPPT_PNT_FCST_YR</w:t>
      </w:r>
      <w:r>
        <w:t xml:space="preserve"> </w:t>
      </w:r>
      <w:r>
        <w:t xml:space="preserve">(key WERKS, MATNR, FYEAR),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(key WERKS, MATNR, GJAHR,</w:t>
      </w:r>
      <w:r>
        <w:t xml:space="preserve"> </w:t>
      </w:r>
      <w:r>
        <w:t xml:space="preserve">QUARTER) and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(key WERKS, MATNR, GJAHR, PERIOD) are the Adhesive tables</w:t>
      </w:r>
      <w:r>
        <w:t xml:space="preserve"> </w:t>
      </w:r>
      <w:r>
        <w:t xml:space="preserve">field for field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 </w:t>
      </w:r>
      <w:r>
        <w:t xml:space="preserve">(ref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), the per-month</w:t>
      </w:r>
      <w:r>
        <w:t xml:space="preserve"> </w:t>
      </w:r>
      <w:r>
        <w:rPr>
          <w:rStyle w:val="VerbatimChar"/>
        </w:rPr>
        <w:t xml:space="preserve">Mnn_KL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Mnn_CR</w:t>
      </w:r>
      <w:r>
        <w:t xml:space="preserve"> </w:t>
      </w:r>
      <w:r>
        <w:t xml:space="preserve">(annual twelve each, quarterly M4–M6, monthly</w:t>
      </w:r>
      <w:r>
        <w:t xml:space="preserve"> </w:t>
      </w:r>
      <w:r>
        <w:t xml:space="preserve">M4), and on annual and monthly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(ref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), which the Adhesive tables</w:t>
      </w:r>
      <w:r>
        <w:t xml:space="preserve"> </w:t>
      </w:r>
      <w:r>
        <w:t xml:space="preserve">do not carry. Delivery class A, APPL0, size 0.</w:t>
      </w:r>
    </w:p>
    <w:p>
      <w:pPr>
        <w:pStyle w:val="BodyText"/>
      </w:pPr>
      <w:r>
        <w:rPr>
          <w:rStyle w:val="VerbatimChar"/>
        </w:rPr>
        <w:t xml:space="preserve">ZCL_PP_FCST_PNT=&gt;SAVE_PAINTS( iv_mode, ct_alv, ct_msg )</w:t>
      </w:r>
      <w:r>
        <w:t xml:space="preserve"> </w:t>
      </w:r>
      <w:r>
        <w:t xml:space="preserve">runs 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: for</w:t>
      </w:r>
      <w:r>
        <w:t xml:space="preserve"> </w:t>
      </w:r>
      <w:r>
        <w:t xml:space="preserve">every row with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and a forecast number it builds the table row with</w:t>
      </w:r>
      <w:r>
        <w:t xml:space="preserve"> </w:t>
      </w:r>
      <w:r>
        <w:rPr>
          <w:rStyle w:val="VerbatimChar"/>
        </w:rPr>
        <w:t xml:space="preserve">CORRESPONDING</w:t>
      </w:r>
      <w:r>
        <w:t xml:space="preserve">,</w:t>
      </w:r>
      <w:r>
        <w:t xml:space="preserve"> </w:t>
      </w:r>
      <w:r>
        <w:t xml:space="preserve">keeps an existing row’s created-by and created-on, sets changed-by and changed-on, and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s the table of the mode; one</w:t>
      </w:r>
      <w:r>
        <w:t xml:space="preserve"> </w:t>
      </w:r>
      <w:r>
        <w:rPr>
          <w:rStyle w:val="VerbatimChar"/>
        </w:rPr>
        <w:t xml:space="preserve">COMMIT WORK</w:t>
      </w:r>
      <w:r>
        <w:t xml:space="preserve"> </w:t>
      </w:r>
      <w:r>
        <w:t xml:space="preserve">at the end. A refused row gets light 1 and</w:t>
      </w:r>
      <w:r>
        <w:t xml:space="preserve"> </w:t>
      </w:r>
      <w:r>
        <w:t xml:space="preserve">the message</w:t>
      </w:r>
      <w:r>
        <w:t xml:space="preserve"> </w:t>
      </w:r>
      <w:r>
        <w:t xml:space="preserve">“</w:t>
      </w:r>
      <w:r>
        <w:t xml:space="preserve">Saved under forecast n, Paints table not updated</w:t>
      </w:r>
      <w:r>
        <w:t xml:space="preserve">”</w:t>
      </w:r>
      <w:r>
        <w:t xml:space="preserve">. The shared tables are still</w:t>
      </w:r>
      <w:r>
        <w:t xml:space="preserve"> </w:t>
      </w:r>
      <w:r>
        <w:t xml:space="preserve">written by the engine first: it reads the business forecast, additional quantities, MSL and</w:t>
      </w:r>
      <w:r>
        <w:t xml:space="preserve"> </w:t>
      </w:r>
      <w:r>
        <w:t xml:space="preserve">price back from them at generation, the change upload requires the shared row, the forecast</w:t>
      </w:r>
      <w:r>
        <w:t xml:space="preserve"> </w:t>
      </w:r>
      <w:r>
        <w:t xml:space="preserve">number is shared through them, and ZFCST_RPT reads them. Nothing reads the Paints tables yet.</w:t>
      </w:r>
    </w:p>
    <w:bookmarkEnd w:id="25"/>
    <w:bookmarkStart w:id="26" w:name="X2430ac70c688013bc39d7ec6cb8de7b1b7b8ea4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— all nine Paints uploads</w:t>
      </w:r>
    </w:p>
    <w:p>
      <w:pPr>
        <w:pStyle w:val="FirstParagraph"/>
      </w:pPr>
      <w:r>
        <w:rPr>
          <w:rStyle w:val="VerbatimChar"/>
        </w:rPr>
        <w:t xml:space="preserve">ZPP_FORECAST_UPLOAD</w:t>
      </w:r>
      <w:r>
        <w:t xml:space="preserve"> </w:t>
      </w:r>
      <w:r>
        <w:t xml:space="preserve">copied whole (repo copy activated 23/09/26: eight radio buttons, each</w:t>
      </w:r>
      <w:r>
        <w:t xml:space="preserve"> </w:t>
      </w:r>
      <w:r>
        <w:t xml:space="preserve">with its own Download Template button, Excel through</w:t>
      </w:r>
      <w:r>
        <w:t xml:space="preserve"> </w:t>
      </w:r>
      <w:r>
        <w:rPr>
          <w:rStyle w:val="VerbatimChar"/>
        </w:rPr>
        <w:t xml:space="preserve">CL_FDT_XL_SPREADSHEET</w:t>
      </w:r>
      <w:r>
        <w:t xml:space="preserve">, CSV, tab text,</w:t>
      </w:r>
      <w:r>
        <w:t xml:space="preserve"> </w:t>
      </w:r>
      <w:r>
        <w:t xml:space="preserve">header detection, per-row result list with traffic light, commit of good rows only) with</w:t>
      </w:r>
      <w:r>
        <w:t xml:space="preserve"> </w:t>
      </w:r>
      <w:r>
        <w:t xml:space="preserve">three additions: a ninth radio button Brand,</w:t>
      </w:r>
      <w:r>
        <w:t xml:space="preserve"> </w:t>
      </w:r>
      <w:r>
        <w:rPr>
          <w:rStyle w:val="VerbatimChar"/>
        </w:rPr>
        <w:t xml:space="preserve">FORM DO_BRAND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FORM CHECK_INDICATOR</w:t>
      </w:r>
      <w:r>
        <w:t xml:space="preserve"> </w:t>
      </w:r>
      <w:r>
        <w:t xml:space="preserve">replacing the MTS/MTO-only check in</w:t>
      </w:r>
      <w:r>
        <w:t xml:space="preserve"> </w:t>
      </w:r>
      <w:r>
        <w:rPr>
          <w:rStyle w:val="VerbatimChar"/>
        </w:rPr>
        <w:t xml:space="preserve">FORM DO_CATEGORY</w:t>
      </w:r>
      <w:r>
        <w:t xml:space="preserve">. Tracking, exclusion, legacy history,</w:t>
      </w:r>
      <w:r>
        <w:t xml:space="preserve"> </w:t>
      </w:r>
      <w:r>
        <w:t xml:space="preserve">business forecast and forecast change are the Adhesive routines unchanged and write the same</w:t>
      </w:r>
      <w:r>
        <w:t xml:space="preserve"> </w:t>
      </w:r>
      <w:r>
        <w:t xml:space="preserve">tables. A Paints user never needs ZFCST_UPL.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6"/>
    <w:bookmarkStart w:id="27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7"/>
    <w:bookmarkStart w:id="28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8"/>
    <w:bookmarkEnd w:id="29"/>
    <w:bookmarkStart w:id="30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30"/>
    <w:bookmarkStart w:id="31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1"/>
    <w:bookmarkStart w:id="32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2026-10-19T08:00:22Z</dcterms:created>
  <dcterms:modified xsi:type="dcterms:W3CDTF">2026-10-19T08:00:22Z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