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s-zforecast-paints-wricef-id-2b"/>
    <w:p>
      <w:pPr>
        <w:pStyle w:val="Heading1"/>
      </w:pPr>
      <w:r>
        <w:t xml:space="preserve">TS — ZFORECAST Paints (WRICEF ID-2B)</w:t>
      </w:r>
    </w:p>
    <w:bookmarkStart w:id="2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1.0, 19.10.2026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 Johri, Associate Consultant, Diligent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/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Astral Limited / UDAY (KPMG)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 / 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Forecast_Template-Paints_1.xlsx</w:t>
            </w:r>
            <w:r>
              <w:t xml:space="preserve">, received 19.10.2026 (no version inside the file). Sheet1 taken as the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ZFORECAST_Paints_Assumptions_and_Queries.docx</w:t>
            </w:r>
            <w:r>
              <w:t xml:space="preserve"> </w:t>
            </w:r>
            <w:r>
              <w:t xml:space="preserve">v2 (queries M1–M7, Q1–Q10, FS defects F01–F28);</w:t>
            </w:r>
            <w:r>
              <w:t xml:space="preserve"> </w:t>
            </w:r>
            <w:r>
              <w:rPr>
                <w:rStyle w:val="VerbatimChar"/>
              </w:rPr>
              <w:t xml:space="preserve">00_TECHNICAL_OBJECTS.md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Built, not yet imported or tested. Queries M1–M7 unanswered; built on the assumptions listed in section 7</w:t>
            </w:r>
          </w:p>
        </w:tc>
      </w:tr>
    </w:tbl>
    <w:bookmarkEnd w:id="20"/>
    <w:bookmarkStart w:id="21" w:name="purpose-and-background"/>
    <w:p>
      <w:pPr>
        <w:pStyle w:val="Heading2"/>
      </w:pPr>
      <w:r>
        <w:t xml:space="preserve">2. Purpose and background</w:t>
      </w:r>
    </w:p>
    <w:p>
      <w:pPr>
        <w:pStyle w:val="FirstParagraph"/>
      </w:pPr>
      <w:r>
        <w:t xml:space="preserve">The Paints division needs the same annual, quarterly and monthly forecasting that was built for</w:t>
      </w:r>
      <w:r>
        <w:t xml:space="preserve"> </w:t>
      </w:r>
      <w:r>
        <w:t xml:space="preserve">Adhesive (ZFORECAST, 20.08.2026 template), with a different list layout: brand, plant name,</w:t>
      </w:r>
      <w:r>
        <w:t xml:space="preserve"> </w:t>
      </w:r>
      <w:r>
        <w:t xml:space="preserve">pack size, dealer price (DPL), quantity per carton, gross weight, volume in kilolitres and value</w:t>
      </w:r>
      <w:r>
        <w:t xml:space="preserve"> </w:t>
      </w:r>
      <w:r>
        <w:t xml:space="preserve">in crores per forecast month, tonnage on gross weight, and two more MTS/MTO indicator values.</w:t>
      </w:r>
      <w:r>
        <w:t xml:space="preserve"> </w:t>
      </w:r>
      <w:r>
        <w:t xml:space="preserve">The arithmetic, the uploads, the save layouts and the tables are the Adhesive ones, and the FS</w:t>
      </w:r>
      <w:r>
        <w:t xml:space="preserve"> </w:t>
      </w:r>
      <w:r>
        <w:t xml:space="preserve">names the Adhesive tables as its own.</w:t>
      </w:r>
    </w:p>
    <w:p>
      <w:pPr>
        <w:pStyle w:val="BodyText"/>
      </w:pPr>
      <w:r>
        <w:t xml:space="preserve">The Adhesive objects are in functional testing and work.</w:t>
      </w:r>
      <w:r>
        <w:t xml:space="preserve"> </w:t>
      </w:r>
      <w:r>
        <w:rPr>
          <w:bCs/>
          <w:b/>
        </w:rPr>
        <w:t xml:space="preserve">None of them is changed.</w:t>
      </w:r>
      <w:r>
        <w:t xml:space="preserve"> </w:t>
      </w:r>
      <w:r>
        <w:t xml:space="preserve">Paints</w:t>
      </w:r>
      <w:r>
        <w:t xml:space="preserve"> </w:t>
      </w:r>
      <w:r>
        <w:t xml:space="preserve">is built as new objects that call the Adhesive engine and share its tables.</w:t>
      </w:r>
    </w:p>
    <w:bookmarkEnd w:id="21"/>
    <w:bookmarkStart w:id="22" w:name="objects-affected"/>
    <w:p>
      <w:pPr>
        <w:pStyle w:val="Heading2"/>
      </w:pPr>
      <w:r>
        <w:t xml:space="preserve">3. Objects affected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80"/>
        <w:gridCol w:w="1245"/>
        <w:gridCol w:w="1067"/>
        <w:gridCol w:w="2135"/>
        <w:gridCol w:w="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/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ZPPV_BRAND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SM30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SE54, optional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  <w:r>
              <w:t xml:space="preserve"> </w:t>
            </w:r>
            <w:r>
              <w:t xml:space="preserve">rows for Paints plants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ZDO_MTS_MTO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values DIS, TIN — manual SE11, optional, not in the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ZPP_FORECAST_REPORT</w:t>
            </w:r>
            <w:r>
              <w:t xml:space="preserve">, the eight</w:t>
            </w:r>
            <w:r>
              <w:t xml:space="preserve"> </w:t>
            </w:r>
            <w:r>
              <w:rPr>
                <w:rStyle w:val="VerbatimChar"/>
              </w:rPr>
              <w:t xml:space="preserve">ZPPT_*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ZPPFCST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change</w:t>
            </w:r>
            <w:r>
              <w:t xml:space="preserve"> </w:t>
            </w:r>
            <w:r>
              <w:t xml:space="preserve">— used as they 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8" w:name="detailed-design"/>
    <w:p>
      <w:pPr>
        <w:pStyle w:val="Heading2"/>
      </w:pPr>
      <w:r>
        <w:t xml:space="preserve">4. Detailed design</w:t>
      </w:r>
    </w:p>
    <w:bookmarkStart w:id="23" w:name="zppt_brand-brand-per-plant-and-material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— brand per plant and material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WERKS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ZDE_BRAND</w:t>
      </w:r>
      <w:r>
        <w:t xml:space="preserve">, domain</w:t>
      </w:r>
      <w:r>
        <w:t xml:space="preserve"> </w:t>
      </w:r>
      <w:r>
        <w:rPr>
          <w:rStyle w:val="VerbatimChar"/>
        </w:rPr>
        <w:t xml:space="preserve">ZDO_BRAND</w:t>
      </w:r>
      <w:r>
        <w:t xml:space="preserve"> </w:t>
      </w:r>
      <w:r>
        <w:t xml:space="preserve">CHAR 40);</w:t>
      </w:r>
      <w:r>
        <w:t xml:space="preserve"> </w:t>
      </w:r>
      <w:r>
        <w:rPr>
          <w:rStyle w:val="VerbatimChar"/>
        </w:rPr>
        <w:t xml:space="preserve">ERNAM</w:t>
      </w:r>
      <w:r>
        <w:t xml:space="preserve">,</w:t>
      </w:r>
      <w:r>
        <w:t xml:space="preserve"> </w:t>
      </w:r>
      <w:r>
        <w:rPr>
          <w:rStyle w:val="VerbatimChar"/>
        </w:rPr>
        <w:t xml:space="preserve">ERDAT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AENAM</w:t>
      </w:r>
      <w:r>
        <w:t xml:space="preserve">,</w:t>
      </w:r>
      <w:r>
        <w:t xml:space="preserve"> </w:t>
      </w:r>
      <w:r>
        <w:rPr>
          <w:rStyle w:val="VerbatimChar"/>
        </w:rPr>
        <w:t xml:space="preserve">AEDAT</w:t>
      </w:r>
      <w:r>
        <w:t xml:space="preserve">. Delivery class A, data class APPL0, size category 0, not buffered.</w:t>
      </w:r>
      <w:r>
        <w:t xml:space="preserve"> </w:t>
      </w:r>
      <w:r>
        <w:t xml:space="preserve">Loaded by the brand upload (4.3); read by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.</w:t>
      </w:r>
    </w:p>
    <w:bookmarkEnd w:id="23"/>
    <w:bookmarkStart w:id="24" w:name="zcl_pp_fcst_pnt-the-paints-column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— the Paints columns</w:t>
      </w:r>
    </w:p>
    <w:p>
      <w:pPr>
        <w:pStyle w:val="FirstParagraph"/>
      </w:pPr>
      <w:r>
        <w:t xml:space="preserve">Public type</w:t>
      </w:r>
      <w:r>
        <w:t xml:space="preserve"> </w:t>
      </w:r>
      <w:r>
        <w:rPr>
          <w:rStyle w:val="VerbatimChar"/>
        </w:rPr>
        <w:t xml:space="preserve">TY_ALV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ZCL_PP_FCST=&gt;TY_ALV</w:t>
      </w:r>
      <w:r>
        <w:t xml:space="preserve"> </w:t>
      </w:r>
      <w:r>
        <w:t xml:space="preserve">(INCLUDE TYPE) plus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M01_KL…M12_KL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M01_CR…M12_CR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M4_KL…M6_KL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M4_CR…M6_CR</w:t>
      </w:r>
      <w:r>
        <w:t xml:space="preserve">. Public method</w:t>
      </w:r>
      <w:r>
        <w:t xml:space="preserve"> </w:t>
      </w:r>
      <w:r>
        <w:rPr>
          <w:rStyle w:val="VerbatimChar"/>
        </w:rPr>
        <w:t xml:space="preserve">ENRICH( iv_mode, ct_alv, ct_msg 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ENRICH</w:t>
      </w:r>
      <w:r>
        <w:t xml:space="preserve"> </w:t>
      </w:r>
      <w:r>
        <w:t xml:space="preserve">collects the plants, materials and plant+material pairs of the run, then reads once</w:t>
      </w:r>
      <w:r>
        <w:t xml:space="preserve"> </w:t>
      </w:r>
      <w:r>
        <w:t xml:space="preserve">each (all guarded by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 </w:t>
      </w:r>
      <w:r>
        <w:t xml:space="preserve">on de-duplicated drivers):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per plant. Missing row → message 018 (W) in the run log, 4000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T001W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READ_BRANDS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plant and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GEWEI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L, ML, KG, G only; first in that order that is not the base unit; pack =</w:t>
            </w:r>
            <w:r>
              <w:t xml:space="preserve"> </w:t>
            </w:r>
            <w:r>
              <w:rPr>
                <w:rStyle w:val="VerbatimChar"/>
              </w:rPr>
              <w:t xml:space="preserve">UMREN</w:t>
            </w:r>
            <w:r>
              <w:t xml:space="preserve"> </w:t>
            </w:r>
            <w:r>
              <w:t xml:space="preserve">÷</w:t>
            </w:r>
            <w:r>
              <w:t xml:space="preserve"> </w:t>
            </w:r>
            <w:r>
              <w:rPr>
                <w:rStyle w:val="VerbatimChar"/>
              </w:rPr>
              <w:t xml:space="preserve">UMREZ</w:t>
            </w:r>
            <w:r>
              <w:t xml:space="preserve">; ML and G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READ_CARTONS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AUMNG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MVGR1</w:t>
            </w:r>
            <w:r>
              <w:t xml:space="preserve"> </w:t>
            </w:r>
            <w:r>
              <w:t xml:space="preserve">not blank,</w:t>
            </w:r>
            <w:r>
              <w:t xml:space="preserve"> </w:t>
            </w: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in the configured sales organisations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A923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KONP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mode only; material alone,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, lowest</w:t>
            </w:r>
            <w:r>
              <w:t xml:space="preserve"> </w:t>
            </w:r>
            <w:r>
              <w:rPr>
                <w:rStyle w:val="VerbatimChar"/>
              </w:rPr>
              <w:t xml:space="preserve">KOPOS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KBETR</w:t>
            </w:r>
            <w:r>
              <w:t xml:space="preserve">. Same rule as</w:t>
            </w:r>
            <w:r>
              <w:t xml:space="preserve"> </w:t>
            </w:r>
            <w:r>
              <w:rPr>
                <w:rStyle w:val="VerbatimChar"/>
              </w:rPr>
              <w:t xml:space="preserve">ZCL_PP_FCST=&gt;READ_PRICES</w:t>
            </w:r>
          </w:p>
        </w:tc>
      </w:tr>
    </w:tbl>
    <w:p>
      <w:pPr>
        <w:pStyle w:val="BodyText"/>
      </w:pPr>
      <w:r>
        <w:t xml:space="preserve">Per row, then: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/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 </w:t>
      </w:r>
      <w:r>
        <w:t xml:space="preserve">(sales org of the</w:t>
      </w:r>
      <w:r>
        <w:t xml:space="preserve"> </w:t>
      </w:r>
      <w:r>
        <w:t xml:space="preserve">row’s plant),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(annual). Per forecast month, on the quantity the engine prices: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Mnn_FCST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Mnn_TON</w:t>
            </w:r>
            <w:r>
              <w:t xml:space="preserve"> </w:t>
            </w:r>
            <w:r>
              <w:t xml:space="preserve">= qty ×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÷ 1000 ·</w:t>
            </w:r>
            <w:r>
              <w:t xml:space="preserve"> </w:t>
            </w:r>
            <w:r>
              <w:rPr>
                <w:rStyle w:val="VerbatimChar"/>
              </w:rPr>
              <w:t xml:space="preserve">Mnn_KL</w:t>
            </w:r>
            <w:r>
              <w:t xml:space="preserve"> </w:t>
            </w:r>
            <w:r>
              <w:t xml:space="preserve">= qty × pack ÷ 1000 ·</w:t>
            </w:r>
            <w:r>
              <w:t xml:space="preserve"> </w:t>
            </w:r>
            <w:r>
              <w:rPr>
                <w:rStyle w:val="VerbatimChar"/>
              </w:rPr>
              <w:t xml:space="preserve">Mnn_CR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× qty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Mn_FCST_FINAL</w:t>
            </w:r>
            <w:r>
              <w:t xml:space="preserve"> </w:t>
            </w:r>
            <w:r>
              <w:t xml:space="preserve">(forecast + additional)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Mn_CR</w:t>
            </w:r>
            <w:r>
              <w:t xml:space="preserve">, n = 4,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TOTAL_QTY</w:t>
            </w:r>
            <w:r>
              <w:t xml:space="preserve"> </w:t>
            </w:r>
            <w:r>
              <w:t xml:space="preserve">(final + additional + MSL)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Mnn_TON</w:t>
      </w:r>
      <w:r>
        <w:t xml:space="preserve"> </w:t>
      </w:r>
      <w:r>
        <w:t xml:space="preserve">overwrites the engine’s net-weight tonnage. Because the Paints program hands the rows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 </w:t>
      </w:r>
      <w:r>
        <w:t xml:space="preserve">after enrichment, the quarterly save stores the gross-weight tonnage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ZPPT_FCST_QT-M4_TON…M6_TON</w:t>
      </w:r>
      <w:r>
        <w:t xml:space="preserve"> </w:t>
      </w:r>
      <w:r>
        <w:t xml:space="preserve">for Paints rows.</w:t>
      </w:r>
    </w:p>
    <w:bookmarkEnd w:id="24"/>
    <w:bookmarkStart w:id="25" w:name="X2430ac70c688013bc39d7ec6cb8de7b1b7b8ea4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ZPP_FORECAST_PAINTS_UPL</w:t>
      </w:r>
      <w:r>
        <w:t xml:space="preserve"> </w:t>
      </w:r>
      <w:r>
        <w:t xml:space="preserve">— all nine Paints uploads</w:t>
      </w:r>
    </w:p>
    <w:p>
      <w:pPr>
        <w:pStyle w:val="FirstParagraph"/>
      </w:pPr>
      <w:r>
        <w:rPr>
          <w:rStyle w:val="VerbatimChar"/>
        </w:rPr>
        <w:t xml:space="preserve">ZPP_FORECAST_UPLOAD</w:t>
      </w:r>
      <w:r>
        <w:t xml:space="preserve"> </w:t>
      </w:r>
      <w:r>
        <w:t xml:space="preserve">copied whole (repo copy activated 23/09/26: eight radio buttons, each</w:t>
      </w:r>
      <w:r>
        <w:t xml:space="preserve"> </w:t>
      </w:r>
      <w:r>
        <w:t xml:space="preserve">with its own Download Template button, Excel through</w:t>
      </w:r>
      <w:r>
        <w:t xml:space="preserve"> </w:t>
      </w:r>
      <w:r>
        <w:rPr>
          <w:rStyle w:val="VerbatimChar"/>
        </w:rPr>
        <w:t xml:space="preserve">CL_FDT_XL_SPREADSHEET</w:t>
      </w:r>
      <w:r>
        <w:t xml:space="preserve">, CSV, tab text,</w:t>
      </w:r>
      <w:r>
        <w:t xml:space="preserve"> </w:t>
      </w:r>
      <w:r>
        <w:t xml:space="preserve">header detection, per-row result list with traffic light, commit of good rows only) with</w:t>
      </w:r>
      <w:r>
        <w:t xml:space="preserve"> </w:t>
      </w:r>
      <w:r>
        <w:t xml:space="preserve">three additions: a ninth radio button Brand,</w:t>
      </w:r>
      <w:r>
        <w:t xml:space="preserve"> </w:t>
      </w:r>
      <w:r>
        <w:rPr>
          <w:rStyle w:val="VerbatimChar"/>
        </w:rPr>
        <w:t xml:space="preserve">FORM DO_BRAND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FORM CHECK_INDICATOR</w:t>
      </w:r>
      <w:r>
        <w:t xml:space="preserve"> </w:t>
      </w:r>
      <w:r>
        <w:t xml:space="preserve">replacing the MTS/MTO-only check in</w:t>
      </w:r>
      <w:r>
        <w:t xml:space="preserve"> </w:t>
      </w:r>
      <w:r>
        <w:rPr>
          <w:rStyle w:val="VerbatimChar"/>
        </w:rPr>
        <w:t xml:space="preserve">FORM DO_CATEGORY</w:t>
      </w:r>
      <w:r>
        <w:t xml:space="preserve">. Tracking, exclusion, legacy history,</w:t>
      </w:r>
      <w:r>
        <w:t xml:space="preserve"> </w:t>
      </w:r>
      <w:r>
        <w:t xml:space="preserve">business forecast and forecast change are the Adhesive routines unchanged and write the same</w:t>
      </w:r>
      <w:r>
        <w:t xml:space="preserve"> </w:t>
      </w:r>
      <w:r>
        <w:t xml:space="preserve">tables. A Paints user never needs ZFCST_UPL.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742"/>
        <w:gridCol w:w="2217"/>
        <w:gridCol w:w="190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ZFCST_Paints_Product_Category.csv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Product Category, Load Factor, MTS/MTO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in MARC and authorised (activity 02); category mandatory; load factor &gt; 0; indicator MTS, MTO, DIS, TIN, DIS ART, TINTING or blank (</w:t>
            </w:r>
            <w:r>
              <w:rPr>
                <w:rStyle w:val="VerbatimChar"/>
              </w:rPr>
              <w:t xml:space="preserve">FORM CHECK_INDICATOR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, overwrite or insert, created-by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ZFCST_Paints_Brand.csv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as above; brand mandatory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overwrite or insert</w:t>
            </w:r>
          </w:p>
        </w:tc>
      </w:tr>
    </w:tbl>
    <w:p>
      <w:pPr>
        <w:pStyle w:val="BodyText"/>
      </w:pPr>
      <w:r>
        <w:t xml:space="preserve">Template headings are the DDIC labels of the fields loaded (</w:t>
      </w:r>
      <w:r>
        <w:rPr>
          <w:rStyle w:val="VerbatimChar"/>
        </w:rPr>
        <w:t xml:space="preserve">FORM FIELD_LABEL</w:t>
      </w:r>
      <w:r>
        <w:t xml:space="preserve">), as on Adhesive.</w:t>
      </w:r>
    </w:p>
    <w:bookmarkEnd w:id="25"/>
    <w:bookmarkStart w:id="26" w:name="zpp_forecast_paints-generation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— generation</w:t>
      </w:r>
    </w:p>
    <w:p>
      <w:pPr>
        <w:pStyle w:val="FirstParagraph"/>
      </w:pPr>
      <w:r>
        <w:t xml:space="preserve">Selection screen, validations, value helps, toolbar handler (Save, Select all, Deselect all,</w:t>
      </w:r>
      <w:r>
        <w:t xml:space="preserve"> </w:t>
      </w:r>
      <w:r>
        <w:t xml:space="preserve">Export), application log (SLG1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, subobject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 external number</w:t>
      </w:r>
      <w:r>
        <w:t xml:space="preserve"> </w:t>
      </w:r>
      <w:r>
        <w:rPr>
          <w:rStyle w:val="VerbatimChar"/>
        </w:rPr>
        <w:t xml:space="preserve">PAINTS &lt;mode&gt; &lt;FY&gt; &lt;user&gt;</w:t>
      </w:r>
      <w:r>
        <w:t xml:space="preserve">), layout key (</w:t>
      </w:r>
      <w:r>
        <w:rPr>
          <w:rStyle w:val="VerbatimChar"/>
        </w:rPr>
        <w:t xml:space="preserve">SY-REPID</w:t>
      </w:r>
      <w:r>
        <w:t xml:space="preserve"> </w:t>
      </w:r>
      <w:r>
        <w:t xml:space="preserve">+ mode) and display-mode switch</w:t>
      </w:r>
      <w:r>
        <w:t xml:space="preserve"> </w:t>
      </w:r>
      <w:r>
        <w:rPr>
          <w:rStyle w:val="VerbatimChar"/>
        </w:rPr>
        <w:t xml:space="preserve">GV_CONTAINER</w:t>
      </w:r>
      <w:r>
        <w:t xml:space="preserve"> </w:t>
      </w:r>
      <w:r>
        <w:t xml:space="preserve">are those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GENERATE</w:t>
      </w:r>
      <w:r>
        <w:t xml:space="preserve">:</w:t>
      </w:r>
      <w:r>
        <w:t xml:space="preserve"> </w:t>
      </w:r>
      <w:r>
        <w:rPr>
          <w:rStyle w:val="VerbatimChar"/>
        </w:rPr>
        <w:t xml:space="preserve">ZCL_PP_FCST=&gt;GENERATE_ANNUAL / _QUARTERLY / _MONTHLY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GT_ENG</w:t>
      </w:r>
      <w:r>
        <w:t xml:space="preserve">; rows</w:t>
      </w:r>
      <w:r>
        <w:t xml:space="preserve"> </w:t>
      </w:r>
      <w:r>
        <w:t xml:space="preserve">copied one by one (</w:t>
      </w:r>
      <w:r>
        <w:rPr>
          <w:rStyle w:val="VerbatimChar"/>
        </w:rPr>
        <w:t xml:space="preserve">MOVE-CORRESPONDING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GT_ALV</w:t>
      </w:r>
      <w:r>
        <w:t xml:space="preserve"> </w:t>
      </w:r>
      <w:r>
        <w:t xml:space="preserve">of the Paints row type;</w:t>
      </w:r>
      <w:r>
        <w:t xml:space="preserve"> </w:t>
      </w:r>
      <w:r>
        <w:rPr>
          <w:rStyle w:val="VerbatimChar"/>
        </w:rPr>
        <w:t xml:space="preserve">ZCL_PP_FCST_PNT=&gt;ENRICH</w:t>
      </w:r>
      <w:r>
        <w:t xml:space="preserve">.</w:t>
      </w:r>
      <w:r>
        <w:t xml:space="preserve"> </w:t>
      </w:r>
      <w:r>
        <w:rPr>
          <w:rStyle w:val="VerbatimChar"/>
        </w:rPr>
        <w:t xml:space="preserve">LCL_HANDLER=&gt;SAVE_SELECTED</w:t>
      </w:r>
      <w:r>
        <w:t xml:space="preserve">: marks the selected rows, rebuilds the</w:t>
      </w:r>
      <w:r>
        <w:t xml:space="preserve"> </w:t>
      </w:r>
      <w:r>
        <w:t xml:space="preserve">engine table row for row, calls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back by index, reveals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VISIBLE_COLUMNS</w:t>
      </w:r>
      <w:r>
        <w:t xml:space="preserve"> </w:t>
      </w:r>
      <w:r>
        <w:t xml:space="preserve">returns two lists:</w:t>
      </w:r>
      <w:r>
        <w:t xml:space="preserve"> </w:t>
      </w:r>
      <w:r>
        <w:rPr>
          <w:rStyle w:val="VerbatimChar"/>
        </w:rPr>
        <w:t xml:space="preserve">CT_SHOW</w:t>
      </w:r>
      <w:r>
        <w:t xml:space="preserve"> </w:t>
      </w:r>
      <w:r>
        <w:t xml:space="preserve">(drawn, Sheet1 order) and</w:t>
      </w:r>
      <w:r>
        <w:t xml:space="preserve"> </w:t>
      </w:r>
      <w:r>
        <w:rPr>
          <w:rStyle w:val="VerbatimChar"/>
        </w:rPr>
        <w:t xml:space="preserve">CT_OPT</w:t>
      </w:r>
      <w:r>
        <w:t xml:space="preserve"> </w:t>
      </w:r>
      <w:r>
        <w:t xml:space="preserve">(hidden, offered by Change Layout).</w:t>
      </w:r>
      <w:r>
        <w:t xml:space="preserve"> </w:t>
      </w:r>
      <w:r>
        <w:rPr>
          <w:rStyle w:val="VerbatimChar"/>
        </w:rPr>
        <w:t xml:space="preserve">FORM SETUP_COLUMNS</w:t>
      </w:r>
      <w:r>
        <w:t xml:space="preserve"> </w:t>
      </w:r>
      <w:r>
        <w:t xml:space="preserve">sets the rest technical, positions the</w:t>
      </w:r>
      <w:r>
        <w:t xml:space="preserve"> </w:t>
      </w:r>
      <w:r>
        <w:t xml:space="preserve">shown columns, and heads them with Sheet1’s wording and the financial calendar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 ANNUAL_HEADINGS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 MONTH_HEADINGS</w:t>
      </w:r>
      <w:r>
        <w:t xml:space="preserve">). Column lists per mode are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§4.</w:t>
      </w:r>
    </w:p>
    <w:bookmarkEnd w:id="26"/>
    <w:bookmarkStart w:id="27" w:name="manual-steps"/>
    <w:p>
      <w:pPr>
        <w:pStyle w:val="Heading3"/>
      </w:pPr>
      <w:r>
        <w:t xml:space="preserve">4.5 Manual steps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§1</w:t>
      </w:r>
      <w:r>
        <w:t xml:space="preserve"> </w:t>
      </w:r>
      <w:r>
        <w:t xml:space="preserve">“</w:t>
      </w:r>
      <w:r>
        <w:t xml:space="preserve">Manual</w:t>
      </w:r>
      <w:r>
        <w:t xml:space="preserve">”</w:t>
      </w:r>
      <w:r>
        <w:t xml:space="preserve">: SE41 copy of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SE93 ×2, SM30 config rows</w:t>
      </w:r>
      <w:r>
        <w:t xml:space="preserve"> </w:t>
      </w:r>
      <w:r>
        <w:t xml:space="preserve">for the Paints plants, optional SE54</w:t>
      </w:r>
      <w:r>
        <w:t xml:space="preserve"> </w:t>
      </w:r>
      <w:r>
        <w:rPr>
          <w:rStyle w:val="VerbatimChar"/>
        </w:rPr>
        <w:t xml:space="preserve">ZPPV_BRAND</w:t>
      </w:r>
      <w:r>
        <w:t xml:space="preserve">, optional SE11 fixed values on</w:t>
      </w:r>
      <w:r>
        <w:t xml:space="preserve"> </w:t>
      </w:r>
      <w:r>
        <w:rPr>
          <w:rStyle w:val="VerbatimChar"/>
        </w:rPr>
        <w:t xml:space="preserve">ZDO_MTS_MTO</w:t>
      </w:r>
      <w:r>
        <w:t xml:space="preserve">.</w:t>
      </w:r>
    </w:p>
    <w:bookmarkEnd w:id="27"/>
    <w:bookmarkEnd w:id="28"/>
    <w:bookmarkStart w:id="29" w:name="requirement-mapping"/>
    <w:p>
      <w:pPr>
        <w:pStyle w:val="Heading2"/>
      </w:pPr>
      <w:r>
        <w:t xml:space="preserve">5. Requirement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 requirement (Sheet1)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Annual: LY month × growth; quarterly: max(LY quarter, L3M) × growth, max with business forecast, month split; monthly: max(LY month, L3M avg × growth), max with business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 shared,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category and % by user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; Paints upload type 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materials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  <w:r>
              <w:t xml:space="preserve">; ZFCST_UPL type EXC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number 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ZPPFCST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ZCL_PP_FCST=&gt;SAVE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maintenance (F), four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ZPPT_PROD_CAT-MTS_MTO</w:t>
            </w:r>
            <w:r>
              <w:t xml:space="preserve">; Paints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code replaced by new 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  <w:r>
              <w:t xml:space="preserve">; ZFCST_UPL type TRK; engine absorption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forecast upload (G/J), change upload (I), last-3-years history (J)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types BUSQ/BUSM, CHGQ/CHGM, 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Brand, plant name, pack size, DPL, qty/carton, gross weight, KL, crores, tonnage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Paints upload type 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report, Consolidated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ZFCST_RPT, shared, unchanged</w:t>
            </w:r>
          </w:p>
        </w:tc>
      </w:tr>
    </w:tbl>
    <w:bookmarkEnd w:id="29"/>
    <w:bookmarkStart w:id="30" w:name="test-scenarios"/>
    <w:p>
      <w:pPr>
        <w:pStyle w:val="Heading2"/>
      </w:pPr>
      <w:r>
        <w:t xml:space="preserve">6. Test scenarios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rows, one material not in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  <w:r>
              <w:t xml:space="preserve"> </w:t>
            </w:r>
            <w:r>
              <w:t xml:space="preserve">“</w:t>
            </w:r>
            <w:r>
              <w:t xml:space="preserve">Would create</w:t>
            </w:r>
            <w:r>
              <w:t xml:space="preserve">”</w:t>
            </w:r>
            <w:r>
              <w:t xml:space="preserve">, 1</w:t>
            </w:r>
            <w:r>
              <w:t xml:space="preserve"> </w:t>
            </w:r>
            <w:r>
              <w:t xml:space="preserve">“</w:t>
            </w:r>
            <w:r>
              <w:t xml:space="preserve">Rejected: Material … is not extended to plant …</w:t>
            </w:r>
            <w:r>
              <w:t xml:space="preserve">”</w:t>
            </w:r>
            <w:r>
              <w:t xml:space="preserve">; 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real run, then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Created ×2; second run Changed ×2,</w:t>
            </w:r>
            <w:r>
              <w:t xml:space="preserve"> </w:t>
            </w:r>
            <w:r>
              <w:rPr>
                <w:rStyle w:val="VerbatimChar"/>
              </w:rPr>
              <w:t xml:space="preserve">ERNAM</w:t>
            </w:r>
            <w:r>
              <w:t xml:space="preserve">/</w:t>
            </w:r>
            <w:r>
              <w:rPr>
                <w:rStyle w:val="VerbatimChar"/>
              </w:rPr>
              <w:t xml:space="preserve">ERDAT</w:t>
            </w:r>
            <w:r>
              <w:t xml:space="preserve"> </w:t>
            </w:r>
            <w:r>
              <w:t xml:space="preserve">unchanged,</w:t>
            </w:r>
            <w:r>
              <w:t xml:space="preserve"> </w:t>
            </w:r>
            <w:r>
              <w:rPr>
                <w:rStyle w:val="VerbatimChar"/>
              </w:rPr>
              <w:t xml:space="preserve">AENAM</w:t>
            </w:r>
            <w:r>
              <w:t xml:space="preserve">/</w:t>
            </w:r>
            <w:r>
              <w:rPr>
                <w:rStyle w:val="VerbatimChar"/>
              </w:rPr>
              <w:t xml:space="preserve">AEDAT</w:t>
            </w:r>
            <w:r>
              <w:t xml:space="preserve"> </w:t>
            </w:r>
            <w: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DIS ART and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 column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MTS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DIS, TIN, MTS;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  <w:r>
              <w:t xml:space="preserve"> </w:t>
            </w:r>
            <w:r>
              <w:t xml:space="preserve">rejected with the indicator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Paints plant with config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FY 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block incl. brand, pack size, DPL, qty/carton; 12 forecast, 12 KL, 12 crore columns; no history columns; history reachable via Change Layout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plant without config 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list produced; SLG1 log carries message 018 for the plant; MVKE reads on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L and CAR units, base EA, UMREZ 1 UMREN 4 on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4.000, unit L; KL = qty × 4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in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ML only, UMREN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run, Q2, Tonnage ticked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 month: forecast, additional, final, KL, Cr, tonnage; tonnage = final × BRGEW ÷ 1000; Gross Weight column at the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rows,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revealed;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row carries</w:t>
            </w:r>
            <w:r>
              <w:t xml:space="preserve"> </w:t>
            </w:r>
            <w:r>
              <w:rPr>
                <w:rStyle w:val="VerbatimChar"/>
              </w:rPr>
              <w:t xml:space="preserve">M4_TON</w:t>
            </w:r>
            <w:r>
              <w:t xml:space="preserve"> </w:t>
            </w:r>
            <w:r>
              <w:t xml:space="preserve">on gross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run, period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BUS_FCST_ADD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  <w:r>
              <w:t xml:space="preserve"> </w:t>
            </w:r>
            <w:r>
              <w:t xml:space="preserve">for the one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on 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two A923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 </w:t>
            </w:r>
            <w:r>
              <w:t xml:space="preserve">wins; crores = DPL × forecast ÷ 1e7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PF_STATUS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before SE41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toolbar, status-bar note, no dump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Adhesive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ZFCST on an Adhesive plant after the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no Adhesive object is in the transport</w:t>
            </w:r>
          </w:p>
        </w:tc>
      </w:tr>
    </w:tbl>
    <w:bookmarkEnd w:id="30"/>
    <w:bookmarkStart w:id="31" w:name="open-points"/>
    <w:p>
      <w:pPr>
        <w:pStyle w:val="Heading2"/>
      </w:pPr>
      <w:r>
        <w:t xml:space="preserve">7. Open points</w:t>
      </w:r>
    </w:p>
    <w:p>
      <w:pPr>
        <w:pStyle w:val="FirstParagraph"/>
      </w:pPr>
      <w:r>
        <w:t xml:space="preserve">Queries M1–M7 and Q1–Q10 of the Assumptions and Queries document are unanswered; the build</w:t>
      </w:r>
      <w:r>
        <w:t xml:space="preserve"> </w:t>
      </w:r>
      <w:r>
        <w:t xml:space="preserve">stands on the assumptions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§5 and the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t xml:space="preserve">comments in</w:t>
      </w:r>
      <w:r>
        <w:t xml:space="preserve"> </w:t>
      </w:r>
      <w:r>
        <w:t xml:space="preserve">the code. In particular: the pack-size unit rule (M5), the brand length (M2), the indicator</w:t>
      </w:r>
      <w:r>
        <w:t xml:space="preserve"> </w:t>
      </w:r>
      <w:r>
        <w:t xml:space="preserve">codes (M3), the Paints sales organisation (M4), tonnage on gross weight in all modes (Q4), the</w:t>
      </w:r>
      <w:r>
        <w:t xml:space="preserve"> </w:t>
      </w:r>
      <w:r>
        <w:t xml:space="preserve">crore column on the monthly list (Q3), and whether a plant can carry both divisions (M1). The</w:t>
      </w:r>
      <w:r>
        <w:t xml:space="preserve"> </w:t>
      </w:r>
      <w:r>
        <w:t xml:space="preserve">ZIP has not been imported on this landscape yet; the paste order is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§2.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2026-10-19T07:46:29Z</dcterms:created>
  <dcterms:modified xsi:type="dcterms:W3CDTF">2026-10-19T07:46:29Z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