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f5a3c37a305fea08e678c69a8ce17a2cc5c5cc"/>
    <w:p>
      <w:pPr>
        <w:pStyle w:val="Heading1"/>
      </w:pPr>
      <w:r>
        <w:t xml:space="preserve">ZFORECAST Paints — transactions and what each one does</w:t>
      </w:r>
    </w:p>
    <w:p>
      <w:pPr>
        <w:pStyle w:val="FirstParagraph"/>
      </w:pPr>
      <w:r>
        <w:t xml:space="preserve">Astral / UDAY (KPMG), Paints division. Handover note, 19.10.2026, Arnav Johri.</w:t>
      </w:r>
      <w:r>
        <w:t xml:space="preserve"> </w:t>
      </w:r>
      <w:r>
        <w:t xml:space="preserve">Objects imported in DEV on 19.10.2026 from</w:t>
      </w:r>
      <w:r>
        <w:t xml:space="preserve"> </w:t>
      </w:r>
      <w:r>
        <w:rPr>
          <w:rStyle w:val="VerbatimChar"/>
        </w:rPr>
        <w:t xml:space="preserve">ZPP_FORECAST_PAINTS.zip</w:t>
      </w:r>
      <w:r>
        <w:t xml:space="preserve">; not transported, not yet</w:t>
      </w:r>
      <w:r>
        <w:t xml:space="preserve"> </w:t>
      </w:r>
      <w:r>
        <w:t xml:space="preserve">functionally tested.</w:t>
      </w:r>
    </w:p>
    <w:bookmarkStart w:id="20" w:name="paints-transactions"/>
    <w:p>
      <w:pPr>
        <w:pStyle w:val="Heading2"/>
      </w:pPr>
      <w:r>
        <w:t xml:space="preserve">Paints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8"/>
        <w:gridCol w:w="2013"/>
        <w:gridCol w:w="46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; arithmetic and save in the shared engine</w:t>
            </w:r>
            <w:r>
              <w:t xml:space="preserve"> </w:t>
            </w:r>
            <w:r>
              <w:rPr>
                <w:rStyle w:val="VerbatimChar"/>
              </w:rPr>
              <w:t xml:space="preserve">ZCL_PP_FCST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generation, three radio buttons.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: last year’s month × load factor, twelve months.</w:t>
            </w:r>
            <w:r>
              <w:t xml:space="preserve"> </w:t>
            </w:r>
            <w:r>
              <w:rPr>
                <w:bCs/>
                <w:b/>
              </w:rPr>
              <w:t xml:space="preserve">Quarterly</w:t>
            </w:r>
            <w:r>
              <w:t xml:space="preserve">: higher of last year’s same quarter and the current last three months, × load factor, then higher of that and the business forecast, split into the three months.</w:t>
            </w:r>
            <w:r>
              <w:t xml:space="preserve"> </w:t>
            </w:r>
            <w:r>
              <w:rPr>
                <w:bCs/>
                <w:b/>
              </w:rPr>
              <w:t xml:space="preserve">Monthly</w:t>
            </w:r>
            <w:r>
              <w:t xml:space="preserve">: higher of last year’s same month and the last-three-month average × load factor, then higher of that and the business forecast. Selection: plant, material, financial year as 2026-2027, quarter or month or date range, Tonnage Wise. List columns: plant code and name, brand, material and description, MTS/MTO/DIS/TIN, material groups 1, 2 and 5, material group, pack size, DPL, quantity per carton, then per forecast month the quantity, volume in KL (quantity × pack size ÷ 1000), value in crores (DPL × quantity ÷ 1,00,00,000) and, with Tonnage ticked, gross weight and tonnage (quantity × gross weight ÷ 1000). The Adhesive working columns (history months, category, growth, groups 3 and 4) are hidden and reachable through Change Layout. Select rows and press Save: writes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  <w:r>
              <w:t xml:space="preserve"> </w:t>
            </w:r>
            <w:r>
              <w:t xml:space="preserve">under one forecast number per plant, material and year. Export to a tab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Paints uploads, each radio button with its own Download Template button:</w:t>
            </w:r>
            <w:r>
              <w:t xml:space="preserve"> </w:t>
            </w:r>
            <w:r>
              <w:rPr>
                <w:bCs/>
                <w:b/>
              </w:rPr>
              <w:t xml:space="preserve">Product Category (Paints)</w:t>
            </w:r>
            <w:r>
              <w:t xml:space="preserve"> </w:t>
            </w:r>
            <w:r>
              <w:t xml:space="preserve">— plant, material, category, load factor, indicator MTS, MTO, DIS or TIN (DIS ART and TINTING accepted and stored as DIS and TIN);</w:t>
            </w:r>
            <w:r>
              <w:t xml:space="preserve"> </w:t>
            </w:r>
            <w:r>
              <w:rPr>
                <w:bCs/>
                <w:b/>
              </w:rPr>
              <w:t xml:space="preserve">Material Tracking</w:t>
            </w:r>
            <w:r>
              <w:t xml:space="preserve"> </w:t>
            </w:r>
            <w:r>
              <w:t xml:space="preserve">— new code and up to five old codes;</w:t>
            </w:r>
            <w:r>
              <w:t xml:space="preserve"> </w:t>
            </w:r>
            <w:r>
              <w:rPr>
                <w:bCs/>
                <w:b/>
              </w:rPr>
              <w:t xml:space="preserve">Material Exclusion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Legacy Sales History</w:t>
            </w:r>
            <w:r>
              <w:t xml:space="preserve"> </w:t>
            </w:r>
            <w:r>
              <w:t xml:space="preserve">— twelve months per plant, material, year;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Quarterly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Monthly</w:t>
            </w:r>
            <w:r>
              <w:t xml:space="preserve"> </w:t>
            </w:r>
            <w:r>
              <w:t xml:space="preserve">(leave MSL column 6 blank);</w:t>
            </w:r>
            <w:r>
              <w:t xml:space="preserve"> </w:t>
            </w:r>
            <w:r>
              <w:rPr>
                <w:bCs/>
                <w:b/>
              </w:rPr>
              <w:t xml:space="preserve">Forecast Change Quarterly</w:t>
            </w:r>
            <w:r>
              <w:t xml:space="preserve"> </w:t>
            </w:r>
            <w:r>
              <w:t xml:space="preserve">— Month 1, 2 or 3 within the quarter, with reason;</w:t>
            </w:r>
            <w:r>
              <w:t xml:space="preserve"> </w:t>
            </w:r>
            <w:r>
              <w:rPr>
                <w:bCs/>
                <w:b/>
              </w:rPr>
              <w:t xml:space="preserve">Forecast Change Monthly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— plant, material, brand into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. Plant and material checked against MARC; existing rows overwritten, new ones inserted. Excel, CSV or tab text; test run ticked by default; row-by-row result list; good rows saved even when others are rejected. Writes the same tables as the Adhesive upload.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 by plant, material, financial year, forecast number, material group, quarter and period: annual, quarterly, additional, total quarter, monthly, additional, total month. Plant selection separates Paints from Adhesive.</w:t>
            </w:r>
          </w:p>
        </w:tc>
      </w:tr>
    </w:tbl>
    <w:bookmarkEnd w:id="20"/>
    <w:bookmarkStart w:id="21" w:name="configuration-and-support"/>
    <w:p>
      <w:pPr>
        <w:pStyle w:val="Heading2"/>
      </w:pPr>
      <w:r>
        <w:t xml:space="preserve">Configuration and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89"/>
        <w:gridCol w:w="52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 /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ZPPV_FCST_CFG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ZPPT_FCST_CFG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Cs/>
                <w:b/>
              </w:rPr>
              <w:t xml:space="preserve">Paints plant</w:t>
            </w:r>
            <w:r>
              <w:t xml:space="preserve">: sales organisation 4000 for the material-group and carton reads, TVARVC name of the legacy-user list. A plant without a row logs message 018 and uses 4000.</w:t>
            </w:r>
            <w:r>
              <w:t xml:space="preserve"> </w:t>
            </w:r>
            <w:r>
              <w:rPr>
                <w:bCs/>
                <w:b/>
              </w:rPr>
              <w:t xml:space="preserve">To be maintained before the first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ZPPV_PROD_CAT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ZPPT_PROD_CAT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category, load factor, indicator. Manual entry of DIS or TIN needs the two fixed values added to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in SE11 (optional, not in the ZIP); the upload writes them regardless.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ZPPV_MAT_EXCL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Old-to-new material codes; excluded materials. Shared tables, by plant.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ZPPV_BRAND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ZPPT_BRAND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material. View not generated yet (SE54, optional); the upload covers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the lists are restricted to (FERT, HAWA). Applies to Paints through the shared engine. Client-specific.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ZPP_FCST_LEGACY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X or blank: whether the Legacy Data checkbox is drawn. Blank gives the Paints FS screen exactly.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range, one interval per financial year, shared with Adhesive.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001 to 026, 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SU21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by plant and activity (01 save, 02 upload, 03 display). Both checks are bypassed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 </w:t>
            </w:r>
            <w:r>
              <w:t xml:space="preserve">since 07/09/26 for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SLG1</w:t>
            </w:r>
            <w:r>
              <w:t xml:space="preserve"> </w:t>
            </w:r>
            <w:r>
              <w:t xml:space="preserve">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  <w:r>
              <w:t xml:space="preserve">, external number</w:t>
            </w:r>
            <w:r>
              <w:t xml:space="preserve"> </w:t>
            </w:r>
            <w:r>
              <w:rPr>
                <w:rStyle w:val="VerbatimChar"/>
              </w:rPr>
              <w:t xml:space="preserve">PAINTS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of every ZFCST_PAINTS run: missing category, load factor defaulted, superseded code shown under its successor, configuration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status from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: SALV_STANDARD plus ZSAVE, ZSELALL, ZDESEL, ZEXCEL.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; until then the list shows the standard toolbar without the four buttons and says 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SE93</w:t>
            </w:r>
            <w:r>
              <w:t xml:space="preserve"> </w:t>
            </w: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transactions, screen 1000.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if not done with the import.</w:t>
            </w:r>
          </w:p>
        </w:tc>
      </w:tr>
    </w:tbl>
    <w:bookmarkEnd w:id="21"/>
    <w:bookmarkStart w:id="2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ZFCST_UPL (the Adhesive upload) is not needed for Paints; it writes the same tables, so a</w:t>
      </w:r>
      <w:r>
        <w:t xml:space="preserve"> </w:t>
      </w:r>
      <w:r>
        <w:t xml:space="preserve">Paints row loaded through it by mistake is still valid, except that its category upload</w:t>
      </w:r>
      <w:r>
        <w:t xml:space="preserve"> </w:t>
      </w:r>
      <w:r>
        <w:t xml:space="preserve">refuses DIS and TIN.</w:t>
      </w:r>
    </w:p>
    <w:p>
      <w:pPr>
        <w:pStyle w:val="BodyText"/>
      </w:pPr>
      <w:r>
        <w:t xml:space="preserve">Paints-only: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. Shared with Adhesive: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.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holds the Paints objects; the shared ones are in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2026-10-19T07:46:30Z</dcterms:created>
  <dcterms:modified xsi:type="dcterms:W3CDTF">2026-10-19T07:46:30Z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