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2"/>
        </w:rPr>
        <w:t>Limitations, Failure Modes, and Assumptions of Hybrid Quantum-Classical Security Monitors</w:t>
      </w:r>
    </w:p>
    <w:p>
      <w:r>
        <w:rPr>
          <w:rFonts w:ascii="Calibri" w:hAnsi="Calibri"/>
          <w:b w:val="0"/>
          <w:i/>
          <w:sz w:val="22"/>
        </w:rPr>
        <w:t>Arnav | IISER Bhopal | Cybersecurity Research Internship Program</w:t>
      </w:r>
    </w:p>
    <w:p/>
    <w:p>
      <w:r>
        <w:rPr>
          <w:rFonts w:ascii="Calibri" w:hAnsi="Calibri"/>
          <w:b/>
          <w:i w:val="0"/>
          <w:sz w:val="28"/>
        </w:rPr>
        <w:t>Abstract</w:t>
      </w:r>
    </w:p>
    <w:p>
      <w:r>
        <w:rPr>
          <w:rFonts w:ascii="Calibri" w:hAnsi="Calibri"/>
          <w:b w:val="0"/>
          <w:i w:val="0"/>
          <w:sz w:val="22"/>
        </w:rPr>
        <w:t>No security system is universally effective, and understanding where and how a detection framework fails is as important as understanding its strengths. This article presents a critical examination of the HYQAD framework's limitations, failure modes, and underlying assumptions. We identify four categories of limitation: data-driven (sample efficiency, class imbalance, label quality), model-driven (kernel expressiveness, posterior approximation error, calibration degradation under distribution shift), deployment-driven (latency variability, resource contention, simulator-to-reality gap), and evaluation-driven (benchmark contamination, metric inflation on simulated data, temporal leakage). For each category, we quantify the performance degradation under realistic failure scenarios and propose mitigation strategies. The analysis reveals that the HYQAD detector maintains F1 &gt; 0.80 under moderate assumption violations but degrades sharply when multiple assumptions are simultaneously violated—a finding that motivates the multi-layered defense architecture presented in subsequent articles.</w:t>
      </w:r>
    </w:p>
    <w:p>
      <w:r>
        <w:rPr>
          <w:rFonts w:ascii="Calibri" w:hAnsi="Calibri"/>
          <w:b/>
          <w:i w:val="0"/>
          <w:sz w:val="28"/>
        </w:rPr>
        <w:t>1. Introduction</w:t>
      </w:r>
    </w:p>
    <w:p>
      <w:r>
        <w:rPr>
          <w:rFonts w:ascii="Calibri" w:hAnsi="Calibri"/>
          <w:b w:val="0"/>
          <w:i w:val="0"/>
          <w:sz w:val="22"/>
        </w:rPr>
        <w:t>The preceding nine articles in this series have presented a progressively more sophisticated hybrid AI-quantum anomaly detection framework for QKD security monitoring, culminating in a production-ready deployment architecture. Throughout this development, we have necessarily made simplifying assumptions about data quality, channel stationarity, model calibration, and evaluation integrity. These assumptions are standard in the machine learning for security literature, but their violation in operational environments can silently undermine detector performance.</w:t>
      </w:r>
    </w:p>
    <w:p>
      <w:r>
        <w:rPr>
          <w:rFonts w:ascii="Calibri" w:hAnsi="Calibri"/>
          <w:b w:val="0"/>
          <w:i w:val="0"/>
          <w:sz w:val="22"/>
        </w:rPr>
        <w:t>This article adopts an adversarial posture toward our own framework: we systematically stress-test every assumption, identify failure regimes, and quantify the consequences of assumption violations. Our goal is not to undermine confidence in the HYQAD approach but to provide operators and researchers with a clear understanding of the system's operational envelope and graceful degradation properties. We organize the analysis into four categories: data limitations, model limitations, deployment limitations, and evaluation limitations.</w:t>
      </w:r>
    </w:p>
    <w:p>
      <w:r>
        <w:rPr>
          <w:rFonts w:ascii="Calibri" w:hAnsi="Calibri"/>
          <w:b/>
          <w:i w:val="0"/>
          <w:sz w:val="28"/>
        </w:rPr>
        <w:t>2 Data Limitations and Assumptions</w:t>
      </w:r>
    </w:p>
    <w:p>
      <w:r>
        <w:rPr>
          <w:rFonts w:ascii="Calibri" w:hAnsi="Calibri"/>
          <w:b w:val="0"/>
          <w:i w:val="0"/>
          <w:sz w:val="22"/>
        </w:rPr>
        <w:t>The HYQAD framework's training and evaluation depend on several data-quality assumptions that may not hold in operational QKD networks:</w:t>
      </w:r>
    </w:p>
    <w:p>
      <w:r>
        <w:rPr>
          <w:rFonts w:ascii="Calibri" w:hAnsi="Calibri"/>
          <w:b/>
          <w:i w:val="0"/>
          <w:sz w:val="22"/>
        </w:rPr>
        <w:t>Sample Efficiency: The GP classifier achieves strong performance with 350-700 labeled samples, but smaller training sets degrade accuracy sharply. At 50 training samples, GP accuracy falls to 0.741 compared to 0.889 at 700 samples. In operational settings where labeled attack data is scarce (e.g., newly deployed QKD links with no historical attack records), the detector may operate in data-poor regimes where performance is substantially lower.</w:t>
      </w:r>
    </w:p>
    <w:p>
      <w:r>
        <w:rPr>
          <w:rFonts w:ascii="Calibri" w:hAnsi="Calibri"/>
          <w:b w:val="0"/>
          <w:i w:val="0"/>
          <w:sz w:val="22"/>
        </w:rPr>
        <w:t>Mitigation: Semi-supervised learning using the GP's marginal likelihood as an anomaly score on unlabeled data, combined with active learning to prioritize labeling of the most informative samples.</w:t>
      </w:r>
    </w:p>
    <w:p>
      <w:r>
        <w:rPr>
          <w:rFonts w:ascii="Calibri" w:hAnsi="Calibri"/>
          <w:b/>
          <w:i w:val="0"/>
          <w:sz w:val="22"/>
        </w:rPr>
        <w:t>Class Imbalance: The standard 30% attack rate in our experiments is relatively balanced. In practice, QKD attacks are rare events that may constitute &lt; 1% of channel time. Under 5% attack prevalence, the GP's precision drops from 0.914 to 0.847 as the model's prior probability shifts away from the true base rate.</w:t>
      </w:r>
    </w:p>
    <w:p>
      <w:r>
        <w:rPr>
          <w:rFonts w:ascii="Calibri" w:hAnsi="Calibri"/>
          <w:b w:val="0"/>
          <w:i w:val="0"/>
          <w:sz w:val="22"/>
        </w:rPr>
        <w:t>Mitigation: Balanced mini-batch training for the meta-learner, cost-sensitive learning with asymmetric misclassification costs (false negatives cost 10x false positives in QKD contexts), and anomaly detection reformulation using the GP's marginal likelihood as a density estimator.</w:t>
      </w:r>
    </w:p>
    <w:p>
      <w:r>
        <w:rPr>
          <w:rFonts w:ascii="Calibri" w:hAnsi="Calibri"/>
          <w:b/>
          <w:i w:val="0"/>
          <w:sz w:val="22"/>
        </w:rPr>
        <w:t>Label Quality: Our experiments assume perfect ground-truth labels. In operational QKD networks, labels come from post-hoc analysis of logged data, which may have latency of hours to days and accuracy &lt; 95%. Label noise at 10% corruption reduces GP F1 from 0.889 to 0.812.</w:t>
      </w:r>
    </w:p>
    <w:p>
      <w:r>
        <w:rPr>
          <w:rFonts w:ascii="Calibri" w:hAnsi="Calibri"/>
          <w:b w:val="0"/>
          <w:i w:val="0"/>
          <w:sz w:val="22"/>
        </w:rPr>
        <w:t>Mitigation: Label smoothing during training, robust likelihood functions (e.g., replacing probit with t-distribution likelihood), and confident learning to identify and correct likely label errors.</w:t>
      </w:r>
    </w:p>
    <w:p>
      <w:r>
        <w:rPr>
          <w:rFonts w:ascii="Calibri" w:hAnsi="Calibri"/>
          <w:b/>
          <w:i w:val="0"/>
          <w:sz w:val="28"/>
        </w:rPr>
        <w:t>3 Model Limitations and Assumptions</w:t>
      </w:r>
    </w:p>
    <w:p>
      <w:r>
        <w:rPr>
          <w:rFonts w:ascii="Calibri" w:hAnsi="Calibri"/>
          <w:b w:val="0"/>
          <w:i w:val="0"/>
          <w:sz w:val="22"/>
        </w:rPr>
        <w:t>The Bayesian and quantum kernel components of HYQAD carry specific modeling assumptions:</w:t>
      </w:r>
    </w:p>
    <w:p>
      <w:r>
        <w:rPr>
          <w:rFonts w:ascii="Calibri" w:hAnsi="Calibri"/>
          <w:b/>
          <w:i w:val="0"/>
          <w:sz w:val="22"/>
        </w:rPr>
        <w:t>GP Posterior Approximation: The Laplace approximation used for GP classification is exact only for Gaussian likelihoods. For binary classification with a probit likelihood, the Laplace approximation underestimates posterior uncertainty, particularly in regions with few data points. This manifests as overconfident predictions that the calibration analysis in Article 6 identified (ECE = 0.042 before temperature scaling).</w:t>
      </w:r>
    </w:p>
    <w:p>
      <w:r>
        <w:rPr>
          <w:rFonts w:ascii="Calibri" w:hAnsi="Calibri"/>
          <w:b w:val="0"/>
          <w:i w:val="0"/>
          <w:sz w:val="22"/>
        </w:rPr>
        <w:t>Under extreme distribution shift (test data with QBER &gt; 30% vs. training max of 25%), the approximation error amplifies and ECE degrades to 0.089 even after calibration.</w:t>
      </w:r>
    </w:p>
    <w:p>
      <w:r>
        <w:rPr>
          <w:rFonts w:ascii="Calibri" w:hAnsi="Calibri"/>
          <w:b/>
          <w:i w:val="0"/>
          <w:sz w:val="22"/>
        </w:rPr>
        <w:t>Quantum Kernel Fixed Feature Map: The amplitude encoding kernel uses a fixed, non-trainable encoding circuit. While this avoids variational optimization challenges, it also means the kernel cannot adapt its feature map to the data distribution. The fixed encoding may produce suboptimal separation for attack types whose signatures align poorly with the amplitude-encoding geometry.</w:t>
      </w:r>
    </w:p>
    <w:p>
      <w:r>
        <w:rPr>
          <w:rFonts w:ascii="Calibri" w:hAnsi="Calibri"/>
          <w:b w:val="0"/>
          <w:i w:val="0"/>
          <w:sz w:val="22"/>
        </w:rPr>
        <w:t>Mitigation: Variational quantum kernel training using parameterized encoding circuits optimized via kernel-target alignment, as explored in Article 4's future work section.</w:t>
      </w:r>
    </w:p>
    <w:p>
      <w:r>
        <w:rPr>
          <w:rFonts w:ascii="Calibri" w:hAnsi="Calibri"/>
          <w:b/>
          <w:i w:val="0"/>
          <w:sz w:val="22"/>
        </w:rPr>
        <w:t>Stationarity Assumption: The GP kernel assumes the data distribution is stationary—that the statistical properties of normal QKD operation do not change over time. In practice, channel characteristics drift due to temperature fluctuations, fiber degradation, and component aging. Under gradual drift (5% parameter change per week), the GP's F1 declines from 0.889 to 0.851 after 4 weeks without retraining.</w:t>
      </w:r>
    </w:p>
    <w:p>
      <w:r>
        <w:rPr>
          <w:rFonts w:ascii="Calibri" w:hAnsi="Calibri"/>
          <w:b w:val="0"/>
          <w:i w:val="0"/>
          <w:sz w:val="22"/>
        </w:rPr>
        <w:t>Mitigation: Online GP updates using variational sparse GP with streaming inference, and automated retraining triggers based on marginal likelihood monitoring (drop of &gt; 10% from baseline).</w:t>
      </w:r>
    </w:p>
    <w:p>
      <w:r>
        <w:rPr>
          <w:rFonts w:ascii="Calibri" w:hAnsi="Calibri"/>
          <w:b/>
          <w:i w:val="0"/>
          <w:sz w:val="28"/>
        </w:rPr>
        <w:t>4 Deployment Limitations</w:t>
      </w:r>
    </w:p>
    <w:p>
      <w:r>
        <w:rPr>
          <w:rFonts w:ascii="Calibri" w:hAnsi="Calibri"/>
          <w:b w:val="0"/>
          <w:i w:val="0"/>
          <w:sz w:val="22"/>
        </w:rPr>
        <w:t>The deployment architecture presented in Article 9 assumes ideal operating conditions that may not hold in production:</w:t>
      </w:r>
    </w:p>
    <w:p>
      <w:r>
        <w:rPr>
          <w:rFonts w:ascii="Calibri" w:hAnsi="Calibri"/>
          <w:b/>
          <w:i w:val="0"/>
          <w:sz w:val="22"/>
        </w:rPr>
        <w:t>Latency Variability: The reported 7.3 ms/sample inference latency assumes dedicated CPU resources with no contention. Under shared hosting alongside QKD control software (which itself requires CPU for sifting, error correction, and privacy amplification), latency can increase by 40-60% during peak key generation periods. The p95 latency in shared environments reaches 14.1 ms, still within the 100 ms frame budget but approaching the margin.</w:t>
      </w:r>
    </w:p>
    <w:p>
      <w:r>
        <w:rPr>
          <w:rFonts w:ascii="Calibri" w:hAnsi="Calibri"/>
          <w:b w:val="0"/>
          <w:i w:val="0"/>
          <w:sz w:val="22"/>
        </w:rPr>
        <w:t>The quantum kernel SVM is more severely affected: PennyLane circuit evaluation on shared CPU shows 3x latency spikes under load, making the QK component unsuitable for latency-critical deployment without dedicated hardware.</w:t>
      </w:r>
    </w:p>
    <w:p>
      <w:r>
        <w:rPr>
          <w:rFonts w:ascii="Calibri" w:hAnsi="Calibri"/>
          <w:b/>
          <w:i w:val="0"/>
          <w:sz w:val="22"/>
        </w:rPr>
        <w:t>Simulator-to-Reality Gap: All experimental results in this series use the simulated QKD channel model from Article 1. The simulator makes specific assumptions about noise distributions (Gaussian measurement noise, Poisson photon statistics) that may not match real QKD hardware. Discrepancies in noise structure could reduce transfer performance. We estimate an expected F1 degradation of 0.05-0.15 when deploying on real QKD hardware based on similar simulator-to-reality gaps reported in the quantum communication literature.</w:t>
      </w:r>
    </w:p>
    <w:p>
      <w:r>
        <w:rPr>
          <w:rFonts w:ascii="Calibri" w:hAnsi="Calibri"/>
          <w:b w:val="0"/>
          <w:i w:val="0"/>
          <w:sz w:val="22"/>
        </w:rPr>
        <w:t>Mitigation: Domain randomization during training (varying noise parameters across a wide range), and fine-tuning on a small set of real hardware measurements when available.</w:t>
      </w:r>
    </w:p>
    <w:p>
      <w:r>
        <w:rPr>
          <w:rFonts w:ascii="Calibri" w:hAnsi="Calibri"/>
          <w:b/>
          <w:i w:val="0"/>
          <w:sz w:val="28"/>
        </w:rPr>
        <w:t>5 Evaluation Limitations and Methodological Pitfalls</w:t>
      </w:r>
    </w:p>
    <w:p>
      <w:r>
        <w:rPr>
          <w:rFonts w:ascii="Calibri" w:hAnsi="Calibri"/>
          <w:b w:val="0"/>
          <w:i w:val="0"/>
          <w:sz w:val="22"/>
        </w:rPr>
        <w:t>The evaluation methodology itself introduces potential biases:</w:t>
      </w:r>
    </w:p>
    <w:p>
      <w:r>
        <w:rPr>
          <w:rFonts w:ascii="Calibri" w:hAnsi="Calibri"/>
          <w:b/>
          <w:i w:val="0"/>
          <w:sz w:val="22"/>
        </w:rPr>
        <w:t>Simulated Data Benchmark Contamination: The Random Forest baseline achieving perfect 1.000 F1 on our simulated dataset is a red flag: it suggests the simulated attack signatures are too easily separable, potentially overstating the relative performance of simpler models. Real QKD attack signatures are likely more subtle and overlapping, meaning the gap between the Bayesian GP and classical baselines may narrow in practice.</w:t>
      </w:r>
    </w:p>
    <w:p>
      <w:r>
        <w:rPr>
          <w:rFonts w:ascii="Calibri" w:hAnsi="Calibri"/>
          <w:b w:val="0"/>
          <w:i w:val="0"/>
          <w:sz w:val="22"/>
        </w:rPr>
        <w:t>Mitigation: As noted in the HYQAD paper, we include explicit caveats about the RF ceiling effect. Future work should test on more challenging simulated scenarios with higher noise overlap and on real QKD hardware.</w:t>
      </w:r>
    </w:p>
    <w:p>
      <w:r>
        <w:rPr>
          <w:rFonts w:ascii="Calibri" w:hAnsi="Calibri"/>
          <w:b/>
          <w:i w:val="0"/>
          <w:sz w:val="22"/>
        </w:rPr>
        <w:t>Temporal Leakage: Our random train-test split ignores temporal ordering. If channel conditions drift over time, a random split may place correlated samples in both train and test sets, inflating accuracy estimates. Evaluation with temporal train-test splits (first 70% of time for training, last 30% for testing) reduces GP F1 from 0.889 to 0.847.</w:t>
      </w:r>
    </w:p>
    <w:p>
      <w:r>
        <w:rPr>
          <w:rFonts w:ascii="Calibri" w:hAnsi="Calibri"/>
          <w:b w:val="0"/>
          <w:i w:val="0"/>
          <w:sz w:val="22"/>
        </w:rPr>
        <w:t>Mitigation: All future evaluations should include both random-split and temporal-split metrics, with temporal-split results reported as the lower bound on expected performance.</w:t>
      </w:r>
    </w:p>
    <w:p>
      <w:r>
        <w:rPr>
          <w:rFonts w:ascii="Calibri" w:hAnsi="Calibri"/>
          <w:b/>
          <w:i w:val="0"/>
          <w:sz w:val="22"/>
        </w:rPr>
        <w:t>Metric Selection Bias: Reporting F1 and ROC-AUC without calibration metrics obscures important failure modes. A model with high ROC-AUC but poor calibration (like the quantum kernel SVM with ECE = 0.204) could mislead operators who rely on predicted probabilities for decision-making.</w:t>
      </w:r>
    </w:p>
    <w:p>
      <w:r>
        <w:rPr>
          <w:rFonts w:ascii="Calibri" w:hAnsi="Calibri"/>
          <w:b w:val="0"/>
          <w:i w:val="0"/>
          <w:sz w:val="22"/>
        </w:rPr>
        <w:t>Mitigation: The HYQAD evaluation suite now includes ECE, reliability diagrams, and selective prediction curves as mandatory metrics, following the methodology established in Article 6.</w:t>
      </w:r>
    </w:p>
    <w:p>
      <w:r>
        <w:rPr>
          <w:rFonts w:ascii="Calibri" w:hAnsi="Calibri"/>
          <w:b/>
          <w:i w:val="0"/>
          <w:sz w:val="28"/>
        </w:rPr>
        <w:t>6 Conclusion</w:t>
      </w:r>
    </w:p>
    <w:p>
      <w:r>
        <w:rPr>
          <w:rFonts w:ascii="Calibri" w:hAnsi="Calibri"/>
          <w:b w:val="0"/>
          <w:i w:val="0"/>
          <w:sz w:val="22"/>
        </w:rPr>
        <w:t>The HYQAD framework's limitations fall into a pattern: the system performs robustly when individual assumptions are violated but degrades significantly under simultaneous violations. This observation motivates a key design principle for production QKD security monitoring: multi-layered defense with independent detection mechanisms, where the failure of any single layer does not compromise overall security. The Bayesian GP's graceful degradation under distribution shift, the quantum kernel's alternative feature space, and the selective prediction deferral mechanism provide complementary robustness. The most critical operational recommendations are to maintain labeled data pipelines for automated retraining, to monitor the GP's marginal likelihood as a distribution-shift early warning system, and to evaluate with temporal splits that reflect realistic deployment conditions.</w:t>
      </w:r>
    </w:p>
    <w:p>
      <w:r>
        <w:rPr>
          <w:rFonts w:ascii="Calibri" w:hAnsi="Calibri"/>
          <w:b/>
          <w:i w:val="0"/>
          <w:sz w:val="28"/>
        </w:rPr>
        <w:t>References</w:t>
      </w:r>
    </w:p>
    <w:p>
      <w:r>
        <w:rPr>
          <w:rFonts w:ascii="Calibri" w:hAnsi="Calibri"/>
          <w:b w:val="0"/>
          <w:i w:val="0"/>
          <w:sz w:val="22"/>
        </w:rPr>
        <w:t>[1] C. E. Rasmussen and C. K. I. Williams, Gaussian Processes for Machine Learning. MIT Press, 2006.</w:t>
      </w:r>
    </w:p>
    <w:p>
      <w:r>
        <w:rPr>
          <w:rFonts w:ascii="Calibri" w:hAnsi="Calibri"/>
          <w:b w:val="0"/>
          <w:i w:val="0"/>
          <w:sz w:val="22"/>
        </w:rPr>
        <w:t>[2] D. Barber, Bayesian Reasoning and Machine Learning. Cambridge University Press, 2012.</w:t>
      </w:r>
    </w:p>
    <w:p>
      <w:r>
        <w:rPr>
          <w:rFonts w:ascii="Calibri" w:hAnsi="Calibri"/>
          <w:b w:val="0"/>
          <w:i w:val="0"/>
          <w:sz w:val="22"/>
        </w:rPr>
        <w:t>[3] V. Chandola, A. Banerjee, and V. Kumar, "Anomaly Detection: A Survey," ACM Computing Surveys, vol. 41, no. 3, pp. 1-58, 2009.</w:t>
      </w:r>
    </w:p>
    <w:p>
      <w:r>
        <w:rPr>
          <w:rFonts w:ascii="Calibri" w:hAnsi="Calibri"/>
          <w:b w:val="0"/>
          <w:i w:val="0"/>
          <w:sz w:val="22"/>
        </w:rPr>
        <w:t>[4] A. K. Menon, R. Jenssen, and A. van der Merwe, "A Bayesian Approach to Anomaly Detection," IEEE Trans. Neural Netw. Learn. Syst., vol. 30, no. 8, pp. 2289-2301, 2019.</w:t>
      </w:r>
    </w:p>
    <w:p>
      <w:r>
        <w:rPr>
          <w:rFonts w:ascii="Calibri" w:hAnsi="Calibri"/>
          <w:b w:val="0"/>
          <w:i w:val="0"/>
          <w:sz w:val="22"/>
        </w:rPr>
        <w:t>[5] N. Papernot, P. McDaniel, S. Jha, M. Fredrikson, Z. B. Celik, and A. Swami, "The Limitations of Deep Learning in Adversarial Settings," in Proc. IEEE EuroS&amp;P, 2016, pp. 372-387.</w:t>
      </w:r>
    </w:p>
    <w:p>
      <w:r>
        <w:rPr>
          <w:rFonts w:ascii="Calibri" w:hAnsi="Calibri"/>
          <w:b w:val="0"/>
          <w:i w:val="0"/>
          <w:sz w:val="22"/>
        </w:rPr>
        <w:t>[6] B. Biggio and F. Roli, "Wild Patterns: Ten Years After the Rise of Adversarial Machine Learning," Pattern Recognition, vol. 84, pp. 317-331, 2018.</w:t>
      </w:r>
    </w:p>
    <w:p>
      <w:r>
        <w:rPr>
          <w:rFonts w:ascii="Calibri" w:hAnsi="Calibri"/>
          <w:b w:val="0"/>
          <w:i w:val="0"/>
          <w:sz w:val="22"/>
        </w:rPr>
        <w:t>[7] M. Titsias, "Variational Learning of Inducing Variables in Sparse Gaussian Processes," in Proc. AISTATS, 2009, pp. 567-574.</w:t>
      </w:r>
    </w:p>
    <w:p>
      <w:r>
        <w:rPr>
          <w:rFonts w:ascii="Calibri" w:hAnsi="Calibri"/>
          <w:b w:val="0"/>
          <w:i w:val="0"/>
          <w:sz w:val="22"/>
        </w:rPr>
        <w:t>[8] J. Quinonero-Candela and C. E. Rasmussen, "A Unifying View of Sparse Approximate Gaussian Process Regression," JMLR, vol. 6, pp. 1939-1959, 2005.</w:t>
      </w:r>
    </w:p>
    <w:p>
      <w:r>
        <w:rPr>
          <w:rFonts w:ascii="Calibri" w:hAnsi="Calibri"/>
          <w:b w:val="0"/>
          <w:i w:val="0"/>
          <w:sz w:val="22"/>
        </w:rPr>
        <w:t>[9] S. Thanasilp, S. Wang, M. Cerezo, and Z. Holmes, "Exponential Concentration in Quantum Kernel Methods," Nature Communications, vol. 15, 5200, 2024.</w:t>
      </w:r>
    </w:p>
    <w:p>
      <w:r>
        <w:rPr>
          <w:rFonts w:ascii="Calibri" w:hAnsi="Calibri"/>
          <w:b w:val="0"/>
          <w:i w:val="0"/>
          <w:sz w:val="22"/>
        </w:rPr>
        <w:t>[10] C. Guo, G. Pleiss, Y. Sun, and K. Q. Weinberger, "On Calibration of Modern Neural Networks," in Proc. ICML, 2017, pp. 1321-1330.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