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32"/>
        </w:rPr>
        <w:t>Quantum Zero-Trust: Extending QKD Security Monitoring Principles to Broader Network Architectures</w:t>
      </w:r>
    </w:p>
    <w:p>
      <w:r>
        <w:rPr>
          <w:rFonts w:ascii="Calibri" w:hAnsi="Calibri"/>
          <w:b w:val="0"/>
          <w:i/>
          <w:sz w:val="22"/>
        </w:rPr>
        <w:t>Arnav | IISER Bhopal | Cybersecurity Research Internship Program</w:t>
      </w:r>
    </w:p>
    <w:p/>
    <w:p>
      <w:r>
        <w:rPr>
          <w:rFonts w:ascii="Calibri" w:hAnsi="Calibri"/>
          <w:b/>
          <w:i w:val="0"/>
          <w:sz w:val="28"/>
        </w:rPr>
        <w:t>Abstract</w:t>
      </w:r>
    </w:p>
    <w:p>
      <w:r>
        <w:rPr>
          <w:rFonts w:ascii="Calibri" w:hAnsi="Calibri"/>
          <w:b w:val="0"/>
          <w:i w:val="0"/>
          <w:sz w:val="22"/>
        </w:rPr>
        <w:t>The zero-trust security model assumes that no network entity is inherently trustworthy, requiring continuous verification of every access request and data transaction. While originally developed for classical networks, zero-trust principles align naturally with the operational requirements of Quantum Key Distribution (QKD) security monitoring, where every quantum channel measurement must be treated as potentially compromised. This article extends the HYQAD anomaly detection framework to a zero-trust architecture (ZTA) for hybrid quantum-classical networks, introducing the Amplitude-Encoding Kernel SVM (AE-SVM) as a lightweight, mathematically grounded classifier that computes cosine similarity in an encoded feature space. We evaluate the AE-SVM against classical kernels (RBF, Laplacian, polynomial) on a multi-parameter QKD dataset, demonstrating that the amplitude-encoding kernel achieves competitive ROC-AUC (0.94) with significantly lower computational overhead than the RBF baseline. The zero-trust framing motivates continuous re-authentication of QKD channel states at sub-second intervals, with each measurement window independently verified before key material is accepted.</w:t>
      </w:r>
    </w:p>
    <w:p>
      <w:r>
        <w:rPr>
          <w:rFonts w:ascii="Calibri" w:hAnsi="Calibri"/>
          <w:b/>
          <w:i w:val="0"/>
          <w:sz w:val="28"/>
        </w:rPr>
        <w:t>1. Introduction</w:t>
      </w:r>
    </w:p>
    <w:p>
      <w:r>
        <w:rPr>
          <w:rFonts w:ascii="Calibri" w:hAnsi="Calibri"/>
          <w:b w:val="0"/>
          <w:i w:val="0"/>
          <w:sz w:val="22"/>
        </w:rPr>
        <w:t>The zero-trust security model, articulated in NIST Special Publication 800-207, prescribes that no entity should be trusted by default, regardless of its location relative to the network perimeter. Every access request must be authenticated, authorized, and continuously validated. In classical network security, zero-trust is implemented through micro-segmentation, identity-aware proxies, and continuous monitoring.</w:t>
      </w:r>
    </w:p>
    <w:p>
      <w:r>
        <w:rPr>
          <w:rFonts w:ascii="Calibri" w:hAnsi="Calibri"/>
          <w:b w:val="0"/>
          <w:i w:val="0"/>
          <w:sz w:val="22"/>
        </w:rPr>
        <w:t>QKD networks present a compelling use case for zero-trust principles. The quantum channel is inherently exposed: an eavesdropper can interact with transmitted photons without leaving classical forensic traces. The hybrid AI-quantum anomaly detectors developed in this series implement a form of continuous verification at the physical layer, treating each measurement window as a potential security event. This article formalizes the connection between QKD security monitoring and zero-trust architecture, introducing the AE-SVM as a computationally efficient kernel method suited for continuous, per-window authentication in zero-trust QKD networks.</w:t>
      </w:r>
    </w:p>
    <w:p>
      <w:r>
        <w:rPr>
          <w:rFonts w:ascii="Calibri" w:hAnsi="Calibri"/>
          <w:b/>
          <w:i w:val="0"/>
          <w:sz w:val="28"/>
        </w:rPr>
        <w:t>2 Zero-Trust Principles for Quantum Networks</w:t>
      </w:r>
    </w:p>
    <w:p>
      <w:r>
        <w:rPr>
          <w:rFonts w:ascii="Calibri" w:hAnsi="Calibri"/>
          <w:b w:val="0"/>
          <w:i w:val="0"/>
          <w:sz w:val="22"/>
        </w:rPr>
        <w:t>Applying zero-trust principles to QKD networks requires three architectural shifts. First, the QKD channel must be continuously monitored rather than periodically audited: every measurement frame is a potential security event that must be verified before its key material is accepted into the final key pool. Second, authentication decisions must be based on multiple observables rather than a single threshold: QBER alone is insufficient to distinguish attack types from normal channel fluctuations. Third, the monitoring system itself must be untrusted: the anomaly detector's outputs should include uncertainty estimates that allow downstream consumers to calibrate their trust in each alert.</w:t>
      </w:r>
    </w:p>
    <w:p>
      <w:r>
        <w:rPr>
          <w:rFonts w:ascii="Calibri" w:hAnsi="Calibri"/>
          <w:b w:val="0"/>
          <w:i w:val="0"/>
          <w:sz w:val="22"/>
        </w:rPr>
        <w:t>The HYQAD framework already satisfies these requirements. The GP classifier provides per-sample uncertainty estimates (addressing principle 3). The multi-parameter feature space (Article 2) captures correlations across eight observables (principle 2). The selective prediction mechanism (Article 6) defers classification when uncertainty is high, implementing a zero-trust principle at the meta-level: the detector does not trust its own predictions when evidence is ambiguous.</w:t>
      </w:r>
    </w:p>
    <w:p>
      <w:r>
        <w:rPr>
          <w:rFonts w:ascii="Calibri" w:hAnsi="Calibri"/>
          <w:b/>
          <w:i w:val="0"/>
          <w:sz w:val="28"/>
        </w:rPr>
        <w:t>3 Amplitude-Encoding Kernel SVM (AE-SVM)</w:t>
      </w:r>
    </w:p>
    <w:p>
      <w:r>
        <w:rPr>
          <w:rFonts w:ascii="Calibri" w:hAnsi="Calibri"/>
          <w:b w:val="0"/>
          <w:i w:val="0"/>
          <w:sz w:val="22"/>
        </w:rPr>
        <w:t>The AE-SVM implements a cosine-similarity kernel in an amplitude-encoded feature space. Unlike the full quantum kernel implemented in PennyLane (Article 4), which requires circuit evaluation for each kernel entry, the amplitude-encoding kernel can be computed classically as the squared dot product of normalized input vectors:</w:t>
      </w:r>
    </w:p>
    <w:p>
      <w:r>
        <w:rPr>
          <w:rFonts w:ascii="Calibri" w:hAnsi="Calibri"/>
          <w:b w:val="0"/>
          <w:i w:val="0"/>
          <w:sz w:val="22"/>
        </w:rPr>
        <w:t>K_A(x_i, x_j) = (x_i^T x_j)^2 / (||x_i||^2 ||x_j||^2)</w:t>
      </w:r>
    </w:p>
    <w:p>
      <w:r>
        <w:rPr>
          <w:rFonts w:ascii="Calibri" w:hAnsi="Calibri"/>
          <w:b w:val="0"/>
          <w:i w:val="0"/>
          <w:sz w:val="22"/>
        </w:rPr>
        <w:t>where x_i and x_j are the 8-dimensional QKD measurement vectors. This kernel corresponds exactly to the inner product of amplitude-encoded quantum states |psi(x_i)&gt; and |psi(x_j)&gt; under a 3-qubit encoding, but requires only O(d) classical operations rather than quantum circuit evaluation.</w:t>
      </w:r>
    </w:p>
    <w:p>
      <w:r>
        <w:rPr>
          <w:rFonts w:ascii="Calibri" w:hAnsi="Calibri"/>
          <w:b w:val="0"/>
          <w:i w:val="0"/>
          <w:sz w:val="22"/>
        </w:rPr>
        <w:t>The squared cosine similarity captures the angle between measurement vectors in the 8-dimensional parameter space. Its quadratic nature provides non-linearity that can separate classes whose means differ only in direction rather than magnitude—a property that is relevant for distinguishing attack types that elevate different subsets of QKD parameters.</w:t>
      </w:r>
    </w:p>
    <w:p>
      <w:r>
        <w:rPr>
          <w:rFonts w:ascii="Calibri" w:hAnsi="Calibri"/>
          <w:b/>
          <w:i w:val="0"/>
          <w:sz w:val="28"/>
        </w:rPr>
        <w:t>4 Experimental Evaluation</w:t>
      </w:r>
    </w:p>
    <w:p>
      <w:r>
        <w:rPr>
          <w:rFonts w:ascii="Calibri" w:hAnsi="Calibri"/>
          <w:b w:val="0"/>
          <w:i w:val="0"/>
          <w:sz w:val="22"/>
        </w:rPr>
        <w:t>We evaluate the AE-SVM against three classical kernels on the simulated QKD dataset (500 samples, 8 features, 30% attack rate). All kernels are trained using scikit-learn's SVC with precomputed kernel matrices and identical train-test splits.</w:t>
      </w:r>
    </w:p>
    <w:p>
      <w:r>
        <w:rPr>
          <w:rFonts w:ascii="Calibri" w:hAnsi="Calibri"/>
          <w:b w:val="0"/>
          <w:i w:val="0"/>
          <w:sz w:val="22"/>
        </w:rPr>
        <w:t>Table 1: Kernel Benchmark on QKD Anomaly Detection</w:t>
      </w:r>
    </w:p>
    <w:p>
      <w:r>
        <w:rPr>
          <w:rFonts w:ascii="Calibri" w:hAnsi="Calibri"/>
          <w:b/>
          <w:i w:val="0"/>
          <w:sz w:val="22"/>
        </w:rPr>
        <w:t>Table 1: Kernel Benchmark on QKD Anomaly Detection</w:t>
      </w:r>
    </w:p>
    <w:p>
      <w:r>
        <w:rPr>
          <w:rFonts w:ascii="Calibri" w:hAnsi="Calibri"/>
          <w:b w:val="0"/>
          <w:i w:val="0"/>
          <w:sz w:val="22"/>
        </w:rPr>
        <w:t>Kernel | ROC-AUC | F1 Score | Accuracy | Training Time (s) | Inference (ms/sample)</w:t>
      </w:r>
    </w:p>
    <w:p>
      <w:r>
        <w:rPr>
          <w:rFonts w:ascii="Calibri" w:hAnsi="Calibri"/>
          <w:b w:val="0"/>
          <w:i w:val="0"/>
          <w:sz w:val="22"/>
        </w:rPr>
        <w:t>AE-SVM (squared cosine) | 0.943 | 0.812 | 0.902 | 0.34 | 0.12</w:t>
      </w:r>
    </w:p>
    <w:p>
      <w:r>
        <w:rPr>
          <w:rFonts w:ascii="Calibri" w:hAnsi="Calibri"/>
          <w:b w:val="0"/>
          <w:i w:val="0"/>
          <w:sz w:val="22"/>
        </w:rPr>
        <w:t>RBF (gamma=scale) | 0.988 | 0.853 | 0.928 | 2.16 | 1.87</w:t>
      </w:r>
    </w:p>
    <w:p>
      <w:r>
        <w:rPr>
          <w:rFonts w:ascii="Calibri" w:hAnsi="Calibri"/>
          <w:b w:val="0"/>
          <w:i w:val="0"/>
          <w:sz w:val="22"/>
        </w:rPr>
        <w:t>Laplacian | 0.972 | 0.838 | 0.916 | 2.41 | 1.92</w:t>
      </w:r>
    </w:p>
    <w:p>
      <w:r>
        <w:rPr>
          <w:rFonts w:ascii="Calibri" w:hAnsi="Calibri"/>
          <w:b w:val="0"/>
          <w:i w:val="0"/>
          <w:sz w:val="22"/>
        </w:rPr>
        <w:t>Polynomial (degree=3) | 0.934 | 0.783 | 0.889 | 1.28 | 0.94</w:t>
      </w:r>
    </w:p>
    <w:p>
      <w:r>
        <w:rPr>
          <w:rFonts w:ascii="Calibri" w:hAnsi="Calibri"/>
          <w:b w:val="0"/>
          <w:i w:val="0"/>
          <w:sz w:val="22"/>
        </w:rPr>
        <w:t>The AE-SVM achieves competitive ROC-AUC (0.943) with substantially lower computational cost: training is 6x faster than RBF and inference is 15x faster. The F1 gap of 0.041 versus RBF is modest, and the AE-SVM's computational efficiency makes it suitable for per-window classification at high frame rates.</w:t>
      </w:r>
    </w:p>
    <w:p>
      <w:r>
        <w:rPr>
          <w:rFonts w:ascii="Calibri" w:hAnsi="Calibri"/>
          <w:b/>
          <w:i w:val="0"/>
          <w:sz w:val="28"/>
        </w:rPr>
        <w:t>5 Zero-Trust Monitoring Loop</w:t>
      </w:r>
    </w:p>
    <w:p>
      <w:r>
        <w:rPr>
          <w:rFonts w:ascii="Calibri" w:hAnsi="Calibri"/>
          <w:b w:val="0"/>
          <w:i w:val="0"/>
          <w:sz w:val="22"/>
        </w:rPr>
        <w:t>We propose a zero-trust monitoring loop that integrates the AE-SVM into a continuous authentication cycle for QKD networks. At each measurement window (100 ms), the following steps execute:</w:t>
      </w:r>
    </w:p>
    <w:p>
      <w:r>
        <w:rPr>
          <w:rFonts w:ascii="Calibri" w:hAnsi="Calibri"/>
          <w:b w:val="0"/>
          <w:i w:val="0"/>
          <w:sz w:val="22"/>
        </w:rPr>
        <w:t>1. Acquire: Capture the 8-dimensional measurement vector from the QKD controller.</w:t>
      </w:r>
    </w:p>
    <w:p>
      <w:r>
        <w:rPr>
          <w:rFonts w:ascii="Calibri" w:hAnsi="Calibri"/>
          <w:b w:val="0"/>
          <w:i w:val="0"/>
          <w:sz w:val="22"/>
        </w:rPr>
        <w:t>2. Encode: Normalize and amplitude-encode the measurement vector.</w:t>
      </w:r>
    </w:p>
    <w:p>
      <w:r>
        <w:rPr>
          <w:rFonts w:ascii="Calibri" w:hAnsi="Calibri"/>
          <w:b w:val="0"/>
          <w:i w:val="0"/>
          <w:sz w:val="22"/>
        </w:rPr>
        <w:t>3. Classify: Compute AE-SVM decision function value; if |f(x)| &lt; epsilon (near decision boundary), flag for secondary inspection.</w:t>
      </w:r>
    </w:p>
    <w:p>
      <w:r>
        <w:rPr>
          <w:rFonts w:ascii="Calibri" w:hAnsi="Calibri"/>
          <w:b w:val="0"/>
          <w:i w:val="0"/>
          <w:sz w:val="22"/>
        </w:rPr>
        <w:t>4. Verify: If classified as normal, accept key material; if attack, trigger key discard and alert.</w:t>
      </w:r>
    </w:p>
    <w:p>
      <w:r>
        <w:rPr>
          <w:rFonts w:ascii="Calibri" w:hAnsi="Calibri"/>
          <w:b w:val="0"/>
          <w:i w:val="0"/>
          <w:sz w:val="22"/>
        </w:rPr>
        <w:t>5. Adapt: Update the running statistics for the GP marginal likelihood monitor; if distribution shift detected, schedule model retraining.</w:t>
      </w:r>
    </w:p>
    <w:p>
      <w:r>
        <w:rPr>
          <w:rFonts w:ascii="Calibri" w:hAnsi="Calibri"/>
          <w:b w:val="0"/>
          <w:i w:val="0"/>
          <w:sz w:val="22"/>
        </w:rPr>
        <w:t>The AE-SVM's 0.12 ms inference time ensures that the classification step adds negligible overhead to the 100 ms frame budget, leaving room for the full HYQAD hybrid detector as a parallel verification channel.</w:t>
      </w:r>
    </w:p>
    <w:p>
      <w:r>
        <w:rPr>
          <w:rFonts w:ascii="Calibri" w:hAnsi="Calibri"/>
          <w:b/>
          <w:i w:val="0"/>
          <w:sz w:val="28"/>
        </w:rPr>
        <w:t>6 Conclusion</w:t>
      </w:r>
    </w:p>
    <w:p>
      <w:r>
        <w:rPr>
          <w:rFonts w:ascii="Calibri" w:hAnsi="Calibri"/>
          <w:b w:val="0"/>
          <w:i w:val="0"/>
          <w:sz w:val="22"/>
        </w:rPr>
        <w:t>The amplitude-encoding kernel SVM bridges the gap between quantum-inspired feature spaces and practical zero-trust deployment requirements. Its squared-cosine kernel captures geometrically meaningful relationships in the QKD measurement space while requiring only classical computation. In the zero-trust QKD architecture, the AE-SVM serves as the first line of continuous verification, with the full HYQAD hybrid detector providing secondary verification for ambiguous cases. This layered approach embodies zero-trust's core principle: never trust, always verify—apply the fastest verification first, then escalate to more thorough analysis when needed.</w:t>
      </w:r>
    </w:p>
    <w:p>
      <w:r>
        <w:rPr>
          <w:rFonts w:ascii="Calibri" w:hAnsi="Calibri"/>
          <w:b/>
          <w:i w:val="0"/>
          <w:sz w:val="28"/>
        </w:rPr>
        <w:t>References</w:t>
      </w:r>
    </w:p>
    <w:p>
      <w:r>
        <w:rPr>
          <w:rFonts w:ascii="Calibri" w:hAnsi="Calibri"/>
          <w:b w:val="0"/>
          <w:i w:val="0"/>
          <w:sz w:val="22"/>
        </w:rPr>
        <w:t>[1] NIST, "Zero Trust Architecture," NIST SP 800-207, 2020.</w:t>
      </w:r>
    </w:p>
    <w:p>
      <w:r>
        <w:rPr>
          <w:rFonts w:ascii="Calibri" w:hAnsi="Calibri"/>
          <w:b w:val="0"/>
          <w:i w:val="0"/>
          <w:sz w:val="22"/>
        </w:rPr>
        <w:t>[2] S. Rose, O. Borchert, S. Mitchell, and S. Connelly, "Zero Trust Architecture," NIST SP 800-207, 2020.</w:t>
      </w:r>
    </w:p>
    <w:p>
      <w:r>
        <w:rPr>
          <w:rFonts w:ascii="Calibri" w:hAnsi="Calibri"/>
          <w:b w:val="0"/>
          <w:i w:val="0"/>
          <w:sz w:val="22"/>
        </w:rPr>
        <w:t>[3] V. Havlicek et al., "Supervised Learning with Quantum-Enhanced Feature Spaces," Nature, vol. 567, pp. 209-212, 2019.</w:t>
      </w:r>
    </w:p>
    <w:p>
      <w:r>
        <w:rPr>
          <w:rFonts w:ascii="Calibri" w:hAnsi="Calibri"/>
          <w:b w:val="0"/>
          <w:i w:val="0"/>
          <w:sz w:val="22"/>
        </w:rPr>
        <w:t>[4] M. Schuld, "Supervised Quantum Machine Learning Models are Kernel Methods," arXiv:2101.11020, 2021.</w:t>
      </w:r>
    </w:p>
    <w:p>
      <w:r>
        <w:rPr>
          <w:rFonts w:ascii="Calibri" w:hAnsi="Calibri"/>
          <w:b w:val="0"/>
          <w:i w:val="0"/>
          <w:sz w:val="22"/>
        </w:rPr>
        <w:t>[5] M. Schuld and F. Petruccione, Machine Learning with Quantum Computers, 2nd ed. Springer, 2021.</w:t>
      </w:r>
    </w:p>
    <w:p>
      <w:r>
        <w:rPr>
          <w:rFonts w:ascii="Calibri" w:hAnsi="Calibri"/>
          <w:b w:val="0"/>
          <w:i w:val="0"/>
          <w:sz w:val="22"/>
        </w:rPr>
        <w:t>[6] C. E. Rasmussen and C. K. I. Williams, Gaussian Processes for Machine Learning. MIT Press, 2006.</w:t>
      </w:r>
    </w:p>
    <w:p>
      <w:r>
        <w:rPr>
          <w:rFonts w:ascii="Calibri" w:hAnsi="Calibri"/>
          <w:b w:val="0"/>
          <w:i w:val="0"/>
          <w:sz w:val="22"/>
        </w:rPr>
        <w:t>[7] F. Pedregosa et al., "Scikit-learn: Machine Learning in Python," JMLR, vol. 12, pp. 2825-2830, 2011.</w:t>
      </w:r>
    </w:p>
    <w:p>
      <w:r>
        <w:rPr>
          <w:rFonts w:ascii="Calibri" w:hAnsi="Calibri"/>
          <w:b w:val="0"/>
          <w:i w:val="0"/>
          <w:sz w:val="22"/>
        </w:rPr>
        <w:t>[8] B. Biggio and F. Roli, "Wild Patterns: Ten Years After the Rise of Adversarial Machine Learning," Pattern Recognition, vol. 84, pp. 317-331, 2018.</w:t>
      </w:r>
    </w:p>
    <w:p>
      <w:r>
        <w:rPr>
          <w:rFonts w:ascii="Calibri" w:hAnsi="Calibri"/>
          <w:b w:val="0"/>
          <w:i w:val="0"/>
          <w:sz w:val="22"/>
        </w:rPr>
        <w:t>[9] E. Bout, V. Loscri, and A. Gallais, "How Machine Learning Changes the Nature of Cyberattacks on IoT Networks: A Survey," IEEE Communications Surveys &amp; Tutorials, vol. 24, no. 1, pp. 248-279, 2022.</w:t>
      </w:r>
    </w:p>
    <w:p>
      <w:r>
        <w:rPr>
          <w:rFonts w:ascii="Calibri" w:hAnsi="Calibri"/>
          <w:b w:val="0"/>
          <w:i w:val="0"/>
          <w:sz w:val="22"/>
        </w:rPr>
        <w:t>[10] C.-H. F. Fung, B. Qi, K. Tamaki, and H.-K. Lo, "Phase-Remapping Attack in Practical Quantum-Key-Distribution Systems," Physical Review A, vol. 75, no. 3, 032314, 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