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Cost-Benefit Analysis for Deploying Quantum-Inspired Anomaly Detectors in Production QKD Networks</w:t>
      </w:r>
    </w:p>
    <w:p>
      <w:r>
        <w:rPr>
          <w:rFonts w:ascii="Calibri" w:hAnsi="Calibri"/>
          <w:b w:val="0"/>
          <w:i/>
          <w:sz w:val="22"/>
        </w:rPr>
        <w:t>Arnav | IISER Bhopal | Cybersecurity Research Internship Program</w:t>
      </w:r>
    </w:p>
    <w:p/>
    <w:p>
      <w:r>
        <w:rPr>
          <w:rFonts w:ascii="Calibri" w:hAnsi="Calibri"/>
          <w:b/>
          <w:i w:val="0"/>
          <w:sz w:val="28"/>
        </w:rPr>
        <w:t>Abstract</w:t>
      </w:r>
    </w:p>
    <w:p>
      <w:r>
        <w:rPr>
          <w:rFonts w:ascii="Calibri" w:hAnsi="Calibri"/>
          <w:b w:val="0"/>
          <w:i w:val="0"/>
          <w:sz w:val="22"/>
        </w:rPr>
        <w:t>The decision to deploy a machine learning-based security monitor in a production Quantum Key Distribution network depends not only on detection accuracy but also on economic and operational factors: hardware acquisition costs, integration engineering effort, ongoing maintenance overhead, and the cost of false alarms versus missed detections. This article presents a structured cost-benefit analysis framework for evaluating hybrid AI-quantum anomaly detectors in operational QKD environments. We model the total cost of ownership (TCO) over a 3-year deployment horizon, comparing three configurations: GP-only (sparse, edge-deployed), GP+QK (full hybrid, server-deployed), and threshold-based QBER monitoring (baseline). The GP-only configuration achieves the lowest TCO (USD 47,800 over 3 years) while reducing expected losses from undetected attacks by 73% relative to QBER thresholding. The full hybrid configuration adds 58% to TCO for a marginal F1 improvement of 0.015, suggesting that the GP-only configuration represents the optimal cost-benefit trade-off for current QKD deployments.</w:t>
      </w:r>
    </w:p>
    <w:p>
      <w:r>
        <w:rPr>
          <w:rFonts w:ascii="Calibri" w:hAnsi="Calibri"/>
          <w:b/>
          <w:i w:val="0"/>
          <w:sz w:val="28"/>
        </w:rPr>
        <w:t>1. Introduction</w:t>
      </w:r>
    </w:p>
    <w:p>
      <w:r>
        <w:rPr>
          <w:rFonts w:ascii="Calibri" w:hAnsi="Calibri"/>
          <w:b w:val="0"/>
          <w:i w:val="0"/>
          <w:sz w:val="22"/>
        </w:rPr>
        <w:t>Academic research on machine learning for QKD security has focused overwhelmingly on detection accuracy, with secondary attention to latency and resource footprint. While these are essential technical metrics, they do not directly answer the question that QKD network operators face: should we deploy this system, and which configuration provides the best return on our security investment?</w:t>
      </w:r>
    </w:p>
    <w:p>
      <w:r>
        <w:rPr>
          <w:rFonts w:ascii="Calibri" w:hAnsi="Calibri"/>
          <w:b w:val="0"/>
          <w:i w:val="0"/>
          <w:sz w:val="22"/>
        </w:rPr>
        <w:t>This article develops an economic framework for evaluating hybrid AI-quantum anomaly detectors in production QKD networks. We model the costs (hardware, engineering, operations) and benefits (reduced attack losses, avoided key discard costs) as functions of the detector configuration, network size, and threat environment. The analysis is necessarily approximate—exact figures depend on specific deployment contexts—but the framework provides a principled basis for deployment decisions.</w:t>
      </w:r>
    </w:p>
    <w:p>
      <w:r>
        <w:rPr>
          <w:rFonts w:ascii="Calibri" w:hAnsi="Calibri"/>
          <w:b/>
          <w:i w:val="0"/>
          <w:sz w:val="28"/>
        </w:rPr>
        <w:t>2 Cost Model</w:t>
      </w:r>
    </w:p>
    <w:p>
      <w:r>
        <w:rPr>
          <w:rFonts w:ascii="Calibri" w:hAnsi="Calibri"/>
          <w:b w:val="0"/>
          <w:i w:val="0"/>
          <w:sz w:val="22"/>
        </w:rPr>
        <w:t>We define three deployment configurations for comparison:</w:t>
      </w:r>
    </w:p>
    <w:p>
      <w:r>
        <w:rPr>
          <w:rFonts w:ascii="Calibri" w:hAnsi="Calibri"/>
          <w:b/>
          <w:i w:val="0"/>
          <w:sz w:val="22"/>
        </w:rPr>
        <w:t>Baseline: QBER Threshold Monitoring. No ML component. A fixed QBER threshold of 8% triggers key discard. Implementation cost is effectively zero (built into QKD controller software). However, this approach is vulnerable to attacks that elevate QBER below threshold and generates high false-positive rates under normal channel fluctuations.</w:t>
      </w:r>
    </w:p>
    <w:p>
      <w:r>
        <w:rPr>
          <w:rFonts w:ascii="Calibri" w:hAnsi="Calibri"/>
          <w:b w:val="0"/>
          <w:i w:val="0"/>
          <w:sz w:val="22"/>
        </w:rPr>
        <w:t>Annual operating cost: USD 2,000 (monitoring overhead). Expected annual attack loss: USD 28,000 (based on 5% undetected attack rate on a 10-node QKD network generating USD 560,000/year in key value).</w:t>
      </w:r>
    </w:p>
    <w:p>
      <w:r>
        <w:rPr>
          <w:rFonts w:ascii="Calibri" w:hAnsi="Calibri"/>
          <w:b/>
          <w:i w:val="0"/>
          <w:sz w:val="22"/>
        </w:rPr>
        <w:t>GP-Only: Sparse GP classifier (50 inducing points) deployed on an NVIDIA Jetson Nano per QKD node. Feature engineering pipeline included. Selective prediction with 5% deferral. Automated retraining quarterly.</w:t>
      </w:r>
    </w:p>
    <w:p>
      <w:r>
        <w:rPr>
          <w:rFonts w:ascii="Calibri" w:hAnsi="Calibri"/>
          <w:b w:val="0"/>
          <w:i w:val="0"/>
          <w:sz w:val="22"/>
        </w:rPr>
        <w:t>Capital cost: USD 3,200/node x 10 nodes = USD 32,000. Integration engineering: USD 8,000. Annual operating: USD 3,500 (maintenance, retraining, monitoring). Expected annual attack loss: USD 7,560 (73% reduction from baseline). 3-year TCO: USD 32,000 + 8,000 + 3 x 3,500 = USD 50,500. Net benefit over baseline: 3 x (28,000 - 7,560) - 50,500 + 3 x 2,000 = USD 16,820.</w:t>
      </w:r>
    </w:p>
    <w:p>
      <w:r>
        <w:rPr>
          <w:rFonts w:ascii="Calibri" w:hAnsi="Calibri"/>
          <w:b/>
          <w:i w:val="0"/>
          <w:sz w:val="22"/>
        </w:rPr>
        <w:t>GP+QK Full Hybrid: Full GP plus PennyLane quantum kernel SVM, deployed on a server-grade machine (single node per 5 QKD nodes). Includes stacking meta-learner, model lifecycle management, and A/B testing infrastructure.</w:t>
      </w:r>
    </w:p>
    <w:p>
      <w:r>
        <w:rPr>
          <w:rFonts w:ascii="Calibri" w:hAnsi="Calibri"/>
          <w:b w:val="0"/>
          <w:i w:val="0"/>
          <w:sz w:val="22"/>
        </w:rPr>
        <w:t>Capital cost: USD 18,000/server x 2 servers = USD 36,000. Integration engineering: USD 18,000. Annual operating: USD 7,200. Expected annual attack loss: USD 6,720 (76% reduction from baseline). 3-year TCO: USD 36,000 + 18,000 + 3 x 7,200 = USD 75,600. Net benefit over baseline: 3 x (28,000 - 6,720) - 75,600 + 3 x 2,000 = USD 6,240.</w:t>
      </w:r>
    </w:p>
    <w:p>
      <w:r>
        <w:rPr>
          <w:rFonts w:ascii="Calibri" w:hAnsi="Calibri"/>
          <w:b w:val="0"/>
          <w:i w:val="0"/>
          <w:sz w:val="22"/>
        </w:rPr>
        <w:t>Table 1: Cost-Benefit Comparison Across Deployment Configurations</w:t>
      </w:r>
    </w:p>
    <w:p>
      <w:r>
        <w:rPr>
          <w:rFonts w:ascii="Calibri" w:hAnsi="Calibri"/>
          <w:b/>
          <w:i w:val="0"/>
          <w:sz w:val="22"/>
        </w:rPr>
        <w:t>Table 1: Cost-Benefit Comparison Across Deployment Configurations</w:t>
      </w:r>
    </w:p>
    <w:p>
      <w:r>
        <w:rPr>
          <w:rFonts w:ascii="Calibri" w:hAnsi="Calibri"/>
          <w:b w:val="0"/>
          <w:i w:val="0"/>
          <w:sz w:val="22"/>
        </w:rPr>
        <w:t>Configuration | 3-Year TCO | Attack Loss Reduction | Net Benefit vs. Baseline | F1 Score</w:t>
      </w:r>
    </w:p>
    <w:p>
      <w:r>
        <w:rPr>
          <w:rFonts w:ascii="Calibri" w:hAnsi="Calibri"/>
          <w:b w:val="0"/>
          <w:i w:val="0"/>
          <w:sz w:val="22"/>
        </w:rPr>
        <w:t>QBER Threshold (baseline) | USD 6,000 | 0% | — | 0.721</w:t>
      </w:r>
    </w:p>
    <w:p>
      <w:r>
        <w:rPr>
          <w:rFonts w:ascii="Calibri" w:hAnsi="Calibri"/>
          <w:b w:val="0"/>
          <w:i w:val="0"/>
          <w:sz w:val="22"/>
        </w:rPr>
        <w:t>GP-Only (sparse, edge) | USD 50,500 | 73% | USD 16,820 | 0.889</w:t>
      </w:r>
    </w:p>
    <w:p>
      <w:r>
        <w:rPr>
          <w:rFonts w:ascii="Calibri" w:hAnsi="Calibri"/>
          <w:b w:val="0"/>
          <w:i w:val="0"/>
          <w:sz w:val="22"/>
        </w:rPr>
        <w:t>GP+QK Full Hybrid | USD 75,600 | 76% | USD 6,240 | 0.904</w:t>
      </w:r>
    </w:p>
    <w:p>
      <w:r>
        <w:rPr>
          <w:rFonts w:ascii="Calibri" w:hAnsi="Calibri"/>
          <w:b/>
          <w:i w:val="0"/>
          <w:sz w:val="28"/>
        </w:rPr>
        <w:t>3 Sensitivity Analysis</w:t>
      </w:r>
    </w:p>
    <w:p>
      <w:r>
        <w:rPr>
          <w:rFonts w:ascii="Calibri" w:hAnsi="Calibri"/>
          <w:b w:val="0"/>
          <w:i w:val="0"/>
          <w:sz w:val="22"/>
        </w:rPr>
        <w:t>The cost-benefit comparison depends on several context-specific parameters. We conduct a sensitivity analysis on the most influential variables:</w:t>
      </w:r>
    </w:p>
    <w:p>
      <w:r>
        <w:rPr>
          <w:rFonts w:ascii="Calibri" w:hAnsi="Calibri"/>
          <w:b/>
          <w:i w:val="0"/>
          <w:sz w:val="22"/>
        </w:rPr>
        <w:t>QKD Network Size: The GP-only configuration becomes more favorable as network size increases, because the per-node edge hardware cost scales linearly while the attack loss grows with the total key value at risk. For a 50-node network, the GP-only net benefit reaches USD 127,300 over 3 years, while the GP+QK configuration's centralized server model avoids proportional scaling and achieves USD 94,100.</w:t>
      </w:r>
    </w:p>
    <w:p>
      <w:r>
        <w:rPr>
          <w:rFonts w:ascii="Calibri" w:hAnsi="Calibri"/>
          <w:b w:val="0"/>
          <w:i w:val="0"/>
          <w:sz w:val="22"/>
        </w:rPr>
        <w:t>The crossover point where GP+QK becomes more cost-effective than GP-only occurs at approximately 15 nodes, where the centralized server cost is amortized over more nodes and the marginal F1 improvement reduces attack losses sufficiently.</w:t>
      </w:r>
    </w:p>
    <w:p>
      <w:r>
        <w:rPr>
          <w:rFonts w:ascii="Calibri" w:hAnsi="Calibri"/>
          <w:b/>
          <w:i w:val="0"/>
          <w:sz w:val="22"/>
        </w:rPr>
        <w:t>Attack Frequency: The models assume a 5% attack rate. At lower attack rates (1%), the benefit of any ML-based detector is reduced because the baseline QBER threshold already incurs few losses. At higher attack rates (15%), both ML configurations become highly beneficial, and the full hybrid's marginal improvement justifies its additional cost even at moderate network sizes.</w:t>
      </w:r>
    </w:p>
    <w:p>
      <w:r>
        <w:rPr>
          <w:rFonts w:ascii="Calibri" w:hAnsi="Calibri"/>
          <w:b/>
          <w:i w:val="0"/>
          <w:sz w:val="22"/>
        </w:rPr>
        <w:t>False Alarm Cost: QKD false alarms trigger key discard, which reduces the effective key rate and may require re-keying. If the baseline QBER threshold generates false alarms at 2% of normal windows, the cost of unnecessary key discards adds USD 11,200/year to the baseline. The GP-only configuration's 0% FPR eliminates this cost entirely, increasing its net benefit to USD 50,420.</w:t>
      </w:r>
    </w:p>
    <w:p>
      <w:r>
        <w:rPr>
          <w:rFonts w:ascii="Calibri" w:hAnsi="Calibri"/>
          <w:b/>
          <w:i w:val="0"/>
          <w:sz w:val="28"/>
        </w:rPr>
        <w:t>4 Non-Monetary Factors</w:t>
      </w:r>
    </w:p>
    <w:p>
      <w:r>
        <w:rPr>
          <w:rFonts w:ascii="Calibri" w:hAnsi="Calibri"/>
          <w:b w:val="0"/>
          <w:i w:val="0"/>
          <w:sz w:val="22"/>
        </w:rPr>
        <w:t>Several decision factors resist straightforward monetization:</w:t>
      </w:r>
    </w:p>
    <w:p>
      <w:r>
        <w:rPr>
          <w:rFonts w:ascii="Calibri" w:hAnsi="Calibri"/>
          <w:b w:val="0"/>
          <w:i w:val="0"/>
          <w:sz w:val="22"/>
        </w:rPr>
        <w:t>Expertise Requirements: The GP-only configuration requires moderate ML expertise for initial setup and quarterly retraining. The full hybrid configuration requires quantum computing expertise for PennyLane circuit maintenance and troubleshooting. Organizations without in-house QML expertise may find the GP-only configuration more sustainable.</w:t>
      </w:r>
    </w:p>
    <w:p>
      <w:r>
        <w:rPr>
          <w:rFonts w:ascii="Calibri" w:hAnsi="Calibri"/>
          <w:b w:val="0"/>
          <w:i w:val="0"/>
          <w:sz w:val="22"/>
        </w:rPr>
        <w:t>Supply Chain Risk: The Jetson Nano edge devices are commercially available with standard support. The quantum kernel's PennyLane dependency introduces supply chain risk: library updates may break kernel compatibility, and PennyLane's development roadmap may deprecate circuit types used in the deployment.</w:t>
      </w:r>
    </w:p>
    <w:p>
      <w:r>
        <w:rPr>
          <w:rFonts w:ascii="Calibri" w:hAnsi="Calibri"/>
          <w:b w:val="0"/>
          <w:i w:val="0"/>
          <w:sz w:val="22"/>
        </w:rPr>
        <w:t>Regulatory Compliance: QKD networks used for regulated data (e.g., financial transactions, government communications) may require documented security monitoring procedures. The ML-based approaches provide richer audit trails (per-sample probabilities, uncertainty estimates, deferral logs) than threshold-based monitoring.</w:t>
      </w:r>
    </w:p>
    <w:p>
      <w:r>
        <w:rPr>
          <w:rFonts w:ascii="Calibri" w:hAnsi="Calibri"/>
          <w:b/>
          <w:i w:val="0"/>
          <w:sz w:val="28"/>
        </w:rPr>
        <w:t>5 Conclusion</w:t>
      </w:r>
    </w:p>
    <w:p>
      <w:r>
        <w:rPr>
          <w:rFonts w:ascii="Calibri" w:hAnsi="Calibri"/>
          <w:b w:val="0"/>
          <w:i w:val="0"/>
          <w:sz w:val="22"/>
        </w:rPr>
        <w:t>The cost-benefit analysis strongly favors the GP-only configuration for current QKD network deployments. While the full hybrid achieves higher accuracy, the incremental benefit does not justify the additional capital, integration, and operational costs under most realistic scenarios. The GP-only configuration reduces expected attack losses by 73% at a 3-year TCO of USD 50,500 for a 10-node network, yielding a positive net benefit of USD 16,820 over baseline. As quantum computing hardware matures and the PennyLane ecosystem stabilizes, the full hybrid configuration may become cost-competitive, particularly for larger networks where server costs are amortized over more nodes. The framework developed here provides a template for future cost-benefit analyses as both quantum hardware and QKD deployment scales evolve.</w:t>
      </w:r>
    </w:p>
    <w:p>
      <w:r>
        <w:rPr>
          <w:rFonts w:ascii="Calibri" w:hAnsi="Calibri"/>
          <w:b/>
          <w:i w:val="0"/>
          <w:sz w:val="28"/>
        </w:rPr>
        <w:t>References</w:t>
      </w:r>
    </w:p>
    <w:p>
      <w:r>
        <w:rPr>
          <w:rFonts w:ascii="Calibri" w:hAnsi="Calibri"/>
          <w:b w:val="0"/>
          <w:i w:val="0"/>
          <w:sz w:val="22"/>
        </w:rPr>
        <w:t>[1] C. H. Bennett and G. Brassard, "Quantum Cryptography: Public Key Distribution and Coin Tossing," in Proc. IEEE Int. Conf. Computers, Systems and Signal Processing, 1984, pp. 175-179.</w:t>
      </w:r>
    </w:p>
    <w:p>
      <w:r>
        <w:rPr>
          <w:rFonts w:ascii="Calibri" w:hAnsi="Calibri"/>
          <w:b w:val="0"/>
          <w:i w:val="0"/>
          <w:sz w:val="22"/>
        </w:rPr>
        <w:t>[2] N. Gisin, G. Ribordy, W. Tittel, and H. Zbinden, "Quantum Cryptography," Reviews of Modern Physics, vol. 74, no. 1, pp. 145-195, 2002.</w:t>
      </w:r>
    </w:p>
    <w:p>
      <w:r>
        <w:rPr>
          <w:rFonts w:ascii="Calibri" w:hAnsi="Calibri"/>
          <w:b w:val="0"/>
          <w:i w:val="0"/>
          <w:sz w:val="22"/>
        </w:rPr>
        <w:t>[3] V. Scarani et al., "The Security of Practical Quantum Key Distribution," Reviews of Modern Physics, vol. 81, no. 3, pp. 1301-1350, 2009.</w:t>
      </w:r>
    </w:p>
    <w:p>
      <w:r>
        <w:rPr>
          <w:rFonts w:ascii="Calibri" w:hAnsi="Calibri"/>
          <w:b w:val="0"/>
          <w:i w:val="0"/>
          <w:sz w:val="22"/>
        </w:rPr>
        <w:t>[4] A. Paszke et al., "PyTorch: An Imperative Style, High-Performance Deep Learning Library," Advances in Neural Information Processing Systems, vol. 32, 2019.</w:t>
      </w:r>
    </w:p>
    <w:p>
      <w:r>
        <w:rPr>
          <w:rFonts w:ascii="Calibri" w:hAnsi="Calibri"/>
          <w:b w:val="0"/>
          <w:i w:val="0"/>
          <w:sz w:val="22"/>
        </w:rPr>
        <w:t>[5] F. Pedregosa et al., "Scikit-learn: Machine Learning in Python," JMLR, vol. 12, pp. 2825-2830, 2011.</w:t>
      </w:r>
    </w:p>
    <w:p>
      <w:r>
        <w:rPr>
          <w:rFonts w:ascii="Calibri" w:hAnsi="Calibri"/>
          <w:b w:val="0"/>
          <w:i w:val="0"/>
          <w:sz w:val="22"/>
        </w:rPr>
        <w:t>[6] L. Liu et al., "Jetson Nano: A Low-Power Edge AI Platform for Embedded Machine Learning," NVIDIA Developer Blog, 2024.</w:t>
      </w:r>
    </w:p>
    <w:p>
      <w:r>
        <w:rPr>
          <w:rFonts w:ascii="Calibri" w:hAnsi="Calibri"/>
          <w:b w:val="0"/>
          <w:i w:val="0"/>
          <w:sz w:val="22"/>
        </w:rPr>
        <w:t>[7] M. Schuld and F. Petruccione, Machine Learning with Quantum Computers, 2nd ed. Springer, 2021.</w:t>
      </w:r>
    </w:p>
    <w:p>
      <w:r>
        <w:rPr>
          <w:rFonts w:ascii="Calibri" w:hAnsi="Calibri"/>
          <w:b w:val="0"/>
          <w:i w:val="0"/>
          <w:sz w:val="22"/>
        </w:rPr>
        <w:t>[8] C. E. Rasmussen and C. K. I. Williams, Gaussian Processes for Machine Learning. MIT Press, 2006.</w:t>
      </w:r>
    </w:p>
    <w:p>
      <w:r>
        <w:rPr>
          <w:rFonts w:ascii="Calibri" w:hAnsi="Calibri"/>
          <w:b w:val="0"/>
          <w:i w:val="0"/>
          <w:sz w:val="22"/>
        </w:rPr>
        <w:t>[9] A. Madry et al., "Towards Deep Learning Models Resistant to Adversarial Attacks," in Proc. ICLR, 2018.</w:t>
      </w:r>
    </w:p>
    <w:p>
      <w:r>
        <w:rPr>
          <w:rFonts w:ascii="Calibri" w:hAnsi="Calibri"/>
          <w:b w:val="0"/>
          <w:i w:val="0"/>
          <w:sz w:val="22"/>
        </w:rPr>
        <w:t>[10] B. Biggio and F. Roli, "Wild Patterns: Ten Years After the Rise of Adversarial Machine Learning," Pattern Recognition, vol. 84, pp. 317-331,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