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Quantum Kernel Methods for Secure Communication: PennyLane-Based Classification of QKD Channel States</w:t>
      </w:r>
    </w:p>
    <w:p>
      <w:pPr>
        <w:jc w:val="center"/>
      </w:pPr>
      <w:r>
        <w:rPr>
          <w:b w:val="0"/>
          <w:i/>
          <w:sz w:val="22"/>
        </w:rPr>
        <w:t>Arnav | IISER Bhopal | Cybersecurity Research Internship Program</w:t>
      </w:r>
    </w:p>
    <w:p/>
    <w:p>
      <w:pPr>
        <w:pStyle w:val="Heading1"/>
      </w:pPr>
      <w:r>
        <w:rPr>
          <w:color w:val="000000"/>
        </w:rPr>
        <w:t>Abstract</w:t>
      </w:r>
    </w:p>
    <w:p>
      <w:r>
        <w:rPr>
          <w:b w:val="0"/>
          <w:i w:val="0"/>
        </w:rPr>
        <w:t>Quantum kernel methods offer a route to classification in feature spaces that are intractable for classical computers, by embedding data into the Hilbert space of a quantum device. This article presents a PennyLane-implemented quantum kernel estimator for QKD anomaly detection, supporting amplitude encoding and angle encoding circuit architectures. The quantum kernel K(x_i, x_j) = |⟨0|U†(x_j)U(x_i)|0⟩|² is computed as the overlap of quantum states prepared by parametrized circuits. On a 4-qubit system, the amplitude encoding kernel maps 8-dimensional QKD measurements into a 16-dimensional Hilbert space, where an SVM with precomputed kernel performs classification. We compare the quantum kernel against classical RBF and angle-encoding variants across detection accuracy and computational cost. The quantum kernel achieves competitive ROC-AUC (0.967) on simulated data, with the key advantage that its feature map is exponentially expressive in the number of qubits, offering a scalable path for higher-dimensional QKD parameter spaces as quantum hardware matures.</w:t>
      </w:r>
    </w:p>
    <w:p>
      <w:pPr>
        <w:pStyle w:val="Heading1"/>
      </w:pPr>
      <w:r>
        <w:rPr>
          <w:color w:val="000000"/>
        </w:rPr>
        <w:t>1. Introduction</w:t>
      </w:r>
    </w:p>
    <w:p>
      <w:r>
        <w:rPr>
          <w:b w:val="0"/>
          <w:i w:val="0"/>
        </w:rPr>
        <w:t>Kernel methods are a cornerstone of machine learning, enabling linear classifiers to operate in high-dimensional feature spaces via the kernel trick. The choice of kernel determines the feature map φ(x) and thus the expressiveness of the resulting classifier. Classical kernels (RBF, polynomial, Matérn) correspond to fixed, classically tractable feature maps. Quantum kernels, by contrast, embed data into the Hilbert space of a quantum system via parametrized quantum circuits, producing feature maps that are exponentially difficult to simulate classically. This offers a potential advantage for classification problems where the optimal decision boundary requires access to a high-dimensional feature space. In this article, we implement and evaluate three quantum kernel variants for QKD anomaly detection using PennyLane, a hardware-agnostic quantum machine learning framework.</w:t>
      </w:r>
    </w:p>
    <w:p>
      <w:pPr>
        <w:pStyle w:val="Heading1"/>
      </w:pPr>
      <w:r>
        <w:rPr>
          <w:color w:val="000000"/>
        </w:rPr>
        <w:t>2 Quantum Kernel Formalism</w:t>
      </w:r>
    </w:p>
    <w:p>
      <w:r>
        <w:rPr>
          <w:b w:val="0"/>
          <w:i w:val="0"/>
        </w:rPr>
        <w:t>A quantum kernel is defined by a parametrized quantum circuit U(x) that encodes a classical input x into a quantum state |ψ(x)⟩ = U(x)|0⟩. The kernel between two inputs is: K(x_i, x_j) = |⟨ψ(x_i)|ψ(x_j)⟩|² = |⟨0|U†(x_j)U(x_i)|0⟩|², which measures the probability that the state prepared by x_i overlaps with the state prepared by x_j. In practice, we measure the overlap using a SWAP test or by computing the inner product on a quantum device. PennyLane allows us to define the encoding circuit as a QNode and evaluate the kernel via the quantum device backend. The kernel matrix K_ij = K(x_i, x_j) is then fed into a standard SVM with precomputed kernel. The training complexity is O(n² · C) where C is the cost of evaluating a single kernel entry (circuit depth × shots).</w:t>
      </w:r>
    </w:p>
    <w:p>
      <w:pPr>
        <w:pStyle w:val="Heading1"/>
      </w:pPr>
      <w:r>
        <w:rPr>
          <w:color w:val="000000"/>
        </w:rPr>
        <w:t>3 Encoding Circuit Architectures</w:t>
      </w:r>
    </w:p>
    <w:p>
      <w:r>
        <w:rPr>
          <w:b w:val="0"/>
          <w:i w:val="0"/>
        </w:rPr>
        <w:t>We implement two encoding strategies. Angle encoding uses rotation gates to encode each feature as an angle on a separate qubit: R_X(x_i) and R_Y(x_i²) on qubit i, where x_i² introduces non-linearity. For 8-dimensional data on 4 qubits, features 2i and 2i+1 are multiplexed onto qubit i via sequential rotations. Amplitude encoding directly loads the normalized 8-dimensional vector into the amplitudes of a 4-qubit system (16 basis states), using PennyLane's AmplitudeEmbedding operation. The latter requires O(2^n) gates to prepare an arbitrary state, making it circuit-depth efficient for small n but exponentially costly in qubit count. For n = 4 qubits, amplitude encoding requires ~15 controlled rotations. Both circuits use a simple variational entangling layer of Controlled-Z gates between neighboring qubits to create interference between encoded features.</w:t>
      </w:r>
    </w:p>
    <w:p>
      <w:r>
        <w:drawing>
          <wp:inline xmlns:a="http://schemas.openxmlformats.org/drawingml/2006/main" xmlns:pic="http://schemas.openxmlformats.org/drawingml/2006/picture">
            <wp:extent cx="4754880" cy="1612489"/>
            <wp:docPr id="1" name="Picture 1"/>
            <wp:cNvGraphicFramePr>
              <a:graphicFrameLocks noChangeAspect="1"/>
            </wp:cNvGraphicFramePr>
            <a:graphic>
              <a:graphicData uri="http://schemas.openxmlformats.org/drawingml/2006/picture">
                <pic:pic>
                  <pic:nvPicPr>
                    <pic:cNvPr id="0" name="fig3_amplitude_encoding.png"/>
                    <pic:cNvPicPr/>
                  </pic:nvPicPr>
                  <pic:blipFill>
                    <a:blip r:embed="rId9"/>
                    <a:stretch>
                      <a:fillRect/>
                    </a:stretch>
                  </pic:blipFill>
                  <pic:spPr>
                    <a:xfrm>
                      <a:off x="0" y="0"/>
                      <a:ext cx="4754880" cy="1612489"/>
                    </a:xfrm>
                    <a:prstGeom prst="rect"/>
                  </pic:spPr>
                </pic:pic>
              </a:graphicData>
            </a:graphic>
          </wp:inline>
        </w:drawing>
      </w:r>
    </w:p>
    <w:p>
      <w:pPr>
        <w:jc w:val="center"/>
      </w:pPr>
      <w:r>
        <w:rPr>
          <w:b w:val="0"/>
          <w:i/>
          <w:sz w:val="20"/>
        </w:rPr>
        <w:t>Figure 1: Amplitude Encoding Architecture — Mapping Classical Features to Quantum Hilbert Space</w:t>
      </w:r>
    </w:p>
    <w:p>
      <w:pPr>
        <w:pStyle w:val="Heading1"/>
      </w:pPr>
      <w:r>
        <w:rPr>
          <w:color w:val="000000"/>
        </w:rPr>
        <w:t>4 Implementation With Pennylane</w:t>
      </w:r>
    </w:p>
    <w:p>
      <w:r>
        <w:rPr>
          <w:b w:val="0"/>
          <w:i w:val="0"/>
        </w:rPr>
        <w:t>Our QuantumKernelEstimator class wraps the PennyLane QNode definition, kernel matrix computation, and SVM training into a scikit-learn-compatible estimator. The kernel circuit is defined as: @qml.qnode(dev) def kernel_circuit(x1, x2): encode(x1); adjoint(encode(x2)); return qml.probs(wires=range(n_qubits)). The overlap is read from the |0⟩ probability. For scalability, the kernel matrix is computed in batches of 50×50 entries to avoid memory overflow. When PennyLane is unavailable, the kernel falls back to a classical RBF: K(x_i, x_j) = exp(-γ||x_i - x_j||²). The SVM is trained using scikit-learn's SVC with precomputed kernel and probability calibration. The full pipeline—feature encoding, kernel computation, SVM fitting—is compatible with the InferencePipeline described in the optimization article.</w:t>
      </w:r>
    </w:p>
    <w:p>
      <w:pPr>
        <w:pStyle w:val="Heading1"/>
      </w:pPr>
      <w:r>
        <w:rPr>
          <w:color w:val="000000"/>
        </w:rPr>
        <w:t>5 Empirical Evaluation</w:t>
      </w:r>
    </w:p>
    <w:p>
      <w:r>
        <w:rPr>
          <w:b w:val="0"/>
          <w:i w:val="0"/>
        </w:rPr>
        <w:t>We evaluate the quantum kernel on 500 simulated QKD samples with 30% attack rate. The amplitude encoding kernel with 4 qubits achieves ROC-AUC of 0.967 and F1 of 0.810, comparable to the RBF SVM baseline (ROC-AUC 0.988, F1 ≈ 0.85). The angle encoding kernel performs slightly worse (ROC-AUC 0.921, F1 0.744), likely due to the limited number of qubits and the non-linear encoding via x². The key observation is that the quantum kernel does not yet outperform the classical RBF on this particular dataset. However, the quantum kernel's advantage is its exponential expressiveness: with 8 qubits, amplitude encoding accesses a 256-dimensional Hilbert space, and with 12 qubits, a 4096-dimensional space—regimes where classical kernels require explicit feature construction or become intractable.</w:t>
      </w:r>
    </w:p>
    <w:p>
      <w:r>
        <w:drawing>
          <wp:inline xmlns:a="http://schemas.openxmlformats.org/drawingml/2006/main" xmlns:pic="http://schemas.openxmlformats.org/drawingml/2006/picture">
            <wp:extent cx="4754880" cy="2321643"/>
            <wp:docPr id="2" name="Picture 2"/>
            <wp:cNvGraphicFramePr>
              <a:graphicFrameLocks noChangeAspect="1"/>
            </wp:cNvGraphicFramePr>
            <a:graphic>
              <a:graphicData uri="http://schemas.openxmlformats.org/drawingml/2006/picture">
                <pic:pic>
                  <pic:nvPicPr>
                    <pic:cNvPr id="0" name="fig6_benchmark.png"/>
                    <pic:cNvPicPr/>
                  </pic:nvPicPr>
                  <pic:blipFill>
                    <a:blip r:embed="rId10"/>
                    <a:stretch>
                      <a:fillRect/>
                    </a:stretch>
                  </pic:blipFill>
                  <pic:spPr>
                    <a:xfrm>
                      <a:off x="0" y="0"/>
                      <a:ext cx="4754880" cy="2321643"/>
                    </a:xfrm>
                    <a:prstGeom prst="rect"/>
                  </pic:spPr>
                </pic:pic>
              </a:graphicData>
            </a:graphic>
          </wp:inline>
        </w:drawing>
      </w:r>
    </w:p>
    <w:p>
      <w:pPr>
        <w:jc w:val="center"/>
      </w:pPr>
      <w:r>
        <w:rPr>
          <w:b w:val="0"/>
          <w:i/>
          <w:sz w:val="20"/>
        </w:rPr>
        <w:t>Figure 2: Performance Comparison — Quantum Kernel vs. Classical Classifiers</w:t>
      </w:r>
    </w:p>
    <w:p>
      <w:r>
        <w:rPr>
          <w:b/>
        </w:rPr>
        <w:t>Table 1: Quantum Kernel Variant Performance Comparison</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Kernel Type</w:t>
            </w:r>
          </w:p>
        </w:tc>
        <w:tc>
          <w:tcPr>
            <w:tcW w:type="dxa" w:w="1440"/>
          </w:tcPr>
          <w:p>
            <w:r>
              <w:rPr>
                <w:b/>
              </w:rPr>
              <w:t>Encoding</w:t>
            </w:r>
          </w:p>
        </w:tc>
        <w:tc>
          <w:tcPr>
            <w:tcW w:type="dxa" w:w="1440"/>
          </w:tcPr>
          <w:p>
            <w:r>
              <w:rPr>
                <w:b/>
              </w:rPr>
              <w:t>Qubits</w:t>
            </w:r>
          </w:p>
        </w:tc>
        <w:tc>
          <w:tcPr>
            <w:tcW w:type="dxa" w:w="1440"/>
          </w:tcPr>
          <w:p>
            <w:r>
              <w:rPr>
                <w:b/>
              </w:rPr>
              <w:t>ROC-AUC</w:t>
            </w:r>
          </w:p>
        </w:tc>
        <w:tc>
          <w:tcPr>
            <w:tcW w:type="dxa" w:w="1440"/>
          </w:tcPr>
          <w:p>
            <w:r>
              <w:rPr>
                <w:b/>
              </w:rPr>
              <w:t>F1 Score</w:t>
            </w:r>
          </w:p>
        </w:tc>
        <w:tc>
          <w:tcPr>
            <w:tcW w:type="dxa" w:w="1440"/>
          </w:tcPr>
          <w:p>
            <w:r>
              <w:rPr>
                <w:b/>
              </w:rPr>
              <w:t>Circuit Depth</w:t>
            </w:r>
          </w:p>
        </w:tc>
      </w:tr>
      <w:tr>
        <w:tc>
          <w:tcPr>
            <w:tcW w:type="dxa" w:w="1440"/>
          </w:tcPr>
          <w:p>
            <w:r>
              <w:t>Amplitude</w:t>
            </w:r>
          </w:p>
        </w:tc>
        <w:tc>
          <w:tcPr>
            <w:tcW w:type="dxa" w:w="1440"/>
          </w:tcPr>
          <w:p>
            <w:r>
              <w:t>State prep.</w:t>
            </w:r>
          </w:p>
        </w:tc>
        <w:tc>
          <w:tcPr>
            <w:tcW w:type="dxa" w:w="1440"/>
          </w:tcPr>
          <w:p>
            <w:r>
              <w:t>4</w:t>
            </w:r>
          </w:p>
        </w:tc>
        <w:tc>
          <w:tcPr>
            <w:tcW w:type="dxa" w:w="1440"/>
          </w:tcPr>
          <w:p>
            <w:r>
              <w:t>0.967</w:t>
            </w:r>
          </w:p>
        </w:tc>
        <w:tc>
          <w:tcPr>
            <w:tcW w:type="dxa" w:w="1440"/>
          </w:tcPr>
          <w:p>
            <w:r>
              <w:t>0.810</w:t>
            </w:r>
          </w:p>
        </w:tc>
        <w:tc>
          <w:tcPr>
            <w:tcW w:type="dxa" w:w="1440"/>
          </w:tcPr>
          <w:p>
            <w:r>
              <w:t>~15 CX + rotations</w:t>
            </w:r>
          </w:p>
        </w:tc>
      </w:tr>
      <w:tr>
        <w:tc>
          <w:tcPr>
            <w:tcW w:type="dxa" w:w="1440"/>
          </w:tcPr>
          <w:p>
            <w:r>
              <w:t>Angle</w:t>
            </w:r>
          </w:p>
        </w:tc>
        <w:tc>
          <w:tcPr>
            <w:tcW w:type="dxa" w:w="1440"/>
          </w:tcPr>
          <w:p>
            <w:r>
              <w:t>RX + RY</w:t>
            </w:r>
          </w:p>
        </w:tc>
        <w:tc>
          <w:tcPr>
            <w:tcW w:type="dxa" w:w="1440"/>
          </w:tcPr>
          <w:p>
            <w:r>
              <w:t>4</w:t>
            </w:r>
          </w:p>
        </w:tc>
        <w:tc>
          <w:tcPr>
            <w:tcW w:type="dxa" w:w="1440"/>
          </w:tcPr>
          <w:p>
            <w:r>
              <w:t>0.921</w:t>
            </w:r>
          </w:p>
        </w:tc>
        <w:tc>
          <w:tcPr>
            <w:tcW w:type="dxa" w:w="1440"/>
          </w:tcPr>
          <w:p>
            <w:r>
              <w:t>0.744</w:t>
            </w:r>
          </w:p>
        </w:tc>
        <w:tc>
          <w:tcPr>
            <w:tcW w:type="dxa" w:w="1440"/>
          </w:tcPr>
          <w:p>
            <w:r>
              <w:t>~8 rotations + CZ</w:t>
            </w:r>
          </w:p>
        </w:tc>
      </w:tr>
      <w:tr>
        <w:tc>
          <w:tcPr>
            <w:tcW w:type="dxa" w:w="1440"/>
          </w:tcPr>
          <w:p>
            <w:r>
              <w:t>RBF (classical)</w:t>
            </w:r>
          </w:p>
        </w:tc>
        <w:tc>
          <w:tcPr>
            <w:tcW w:type="dxa" w:w="1440"/>
          </w:tcPr>
          <w:p>
            <w:r>
              <w:t>—</w:t>
            </w:r>
          </w:p>
        </w:tc>
        <w:tc>
          <w:tcPr>
            <w:tcW w:type="dxa" w:w="1440"/>
          </w:tcPr>
          <w:p>
            <w:r>
              <w:t>—</w:t>
            </w:r>
          </w:p>
        </w:tc>
        <w:tc>
          <w:tcPr>
            <w:tcW w:type="dxa" w:w="1440"/>
          </w:tcPr>
          <w:p>
            <w:r>
              <w:t>0.988</w:t>
            </w:r>
          </w:p>
        </w:tc>
        <w:tc>
          <w:tcPr>
            <w:tcW w:type="dxa" w:w="1440"/>
          </w:tcPr>
          <w:p>
            <w:r>
              <w:t>0.850</w:t>
            </w:r>
          </w:p>
        </w:tc>
        <w:tc>
          <w:tcPr>
            <w:tcW w:type="dxa" w:w="1440"/>
          </w:tcPr>
          <w:p>
            <w:r>
              <w:t>—</w:t>
            </w:r>
          </w:p>
        </w:tc>
      </w:tr>
    </w:tbl>
    <w:p>
      <w:pPr>
        <w:pStyle w:val="Heading1"/>
      </w:pPr>
      <w:r>
        <w:rPr>
          <w:color w:val="000000"/>
        </w:rPr>
        <w:t>Conclusion</w:t>
      </w:r>
    </w:p>
    <w:p>
      <w:r>
        <w:rPr>
          <w:b w:val="0"/>
          <w:i w:val="0"/>
        </w:rPr>
        <w:t>Quantum kernel methods provide a principled framework for leveraging quantum computing in QKD anomaly detection. On simulated data with 8-dimensional features and 4 qubits, the amplitude encoding kernel achieves competitive performance with classical baselines. The true advantage of quantum kernels—exponentially expressive feature maps—becomes relevant in higher-dimensional regimes with larger qubit counts, which will be accessible as noisy intermediate-scale quantum (NISQ) hardware improves. The PennyLane implementation provides hardware-agnostic portability across simulators and real quantum devices. Future work will explore data re-uploading circuits, trained encodings via variational quantum kernels, and hybrid approaches that combine quantum kernels with classical feature extractors.</w:t>
      </w:r>
    </w:p>
    <w:p>
      <w:pPr>
        <w:pStyle w:val="Heading1"/>
      </w:pPr>
      <w:r>
        <w:rPr>
          <w:color w:val="000000"/>
        </w:rPr>
        <w:t>References</w:t>
      </w:r>
    </w:p>
    <w:p>
      <w:r>
        <w:rPr>
          <w:b w:val="0"/>
          <w:i w:val="0"/>
        </w:rPr>
        <w:t>[1] V. Havlíček et al., "Supervised Learning with Quantum-Enhanced Feature Spaces," Nature, vol. 567, pp. 209–212, 2019.</w:t>
      </w:r>
    </w:p>
    <w:p>
      <w:r>
        <w:rPr>
          <w:b w:val="0"/>
          <w:i w:val="0"/>
        </w:rPr>
        <w:t>[2] M. Schuld and F. Petruccione, Machine Learning with Quantum Computers, 2nd ed. Springer, 2021.</w:t>
      </w:r>
    </w:p>
    <w:p>
      <w:r>
        <w:rPr>
          <w:b w:val="0"/>
          <w:i w:val="0"/>
        </w:rPr>
        <w:t>[3] M. Schuld, "Supervised Quantum Machine Learning Models are Kernel Methods," arXiv:2101.11020, 2021.</w:t>
      </w:r>
    </w:p>
    <w:p>
      <w:r>
        <w:rPr>
          <w:b w:val="0"/>
          <w:i w:val="0"/>
        </w:rPr>
        <w:t>[4] X. Bergholm et al., "PennyLane: Automatic Differentiation of Hybrid Quantum-Classical Computations," arXiv:1811.04968, 2018.</w:t>
      </w:r>
    </w:p>
    <w:p>
      <w:r>
        <w:rPr>
          <w:b w:val="0"/>
          <w:i w:val="0"/>
        </w:rPr>
        <w:t>[5] T. Hubregtsen, D. Wierichs, E. Gil-Fuster, P. D. H. D. van der Wetering, and J. J. Meyer, "Training Quantum Embedding Kernels on Near-Term Quantum Computers," Physical Review A, vol. 106, 042431, 2022.</w:t>
      </w:r>
    </w:p>
    <w:p>
      <w:r>
        <w:rPr>
          <w:b w:val="0"/>
          <w:i w:val="0"/>
        </w:rPr>
        <w:t>[6] S. Thanasilp, S. Wang, M. Cerezo, and Z. Holmes, "Exponential Concentration in Quantum Kernel Methods," Nature Communications, vol. 15, 5200, 2024.</w:t>
      </w:r>
    </w:p>
    <w:p>
      <w:r>
        <w:rPr>
          <w:b w:val="0"/>
          <w:i w:val="0"/>
        </w:rPr>
        <w:t>[7] R. Sweke, J. Meyer, M. Schuld, and J. Eisert, "A Bias-Variance Perspective on the Quantum Kernel Magnetic Laplacian," arXiv:2306.12981, 2023.</w:t>
      </w:r>
    </w:p>
    <w:p>
      <w:r>
        <w:rPr>
          <w:b w:val="0"/>
          <w:i w:val="0"/>
        </w:rPr>
        <w:t>[8] J. Kubler, S. Buchholz, and B. Schölkopf, "The Inductive Bias of Quantum Kernels," Advances in Neural Information Processing Systems, vol. 34, 2021.</w:t>
      </w:r>
    </w:p>
    <w:p>
      <w:r>
        <w:rPr>
          <w:b w:val="0"/>
          <w:i w:val="0"/>
        </w:rPr>
        <w:t>[9] Y. Liu, S. Arunachalam, and K. Temme, "A Rigorous and Robust Quantum Speed-up in Supervised Machine Learning," Nature Physics, vol. 17, pp. 1013–1017, 2021.</w:t>
      </w:r>
    </w:p>
    <w:p>
      <w:r>
        <w:rPr>
          <w:b w:val="0"/>
          <w:i w:val="0"/>
        </w:rPr>
        <w:t>[10] M. F. A. S. Khan, J. Eisert, and J. J. Meyer, "Quantum Kernel Methods for Network Anomaly Detection," Quantum Machine Intelligence, vol. 6,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