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Multi-Attack Classification and Ensemble Strategies for Quantum Communication Security</w:t>
      </w:r>
    </w:p>
    <w:p>
      <w:r>
        <w:rPr>
          <w:rFonts w:ascii="Calibri" w:hAnsi="Calibri"/>
          <w:i/>
          <w:sz w:val="22"/>
        </w:rPr>
        <w:t>Arnav | IISER Bhopal | Cybersecurity Research Internship Program</w:t>
      </w:r>
    </w:p>
    <w:p/>
    <w:p>
      <w:r>
        <w:rPr>
          <w:rFonts w:ascii="Calibri" w:hAnsi="Calibri"/>
          <w:b/>
          <w:sz w:val="28"/>
        </w:rPr>
        <w:t>Abstract</w:t>
      </w:r>
    </w:p>
    <w:p>
      <w:r>
        <w:rPr>
          <w:rFonts w:ascii="Calibri" w:hAnsi="Calibri"/>
          <w:sz w:val="22"/>
        </w:rPr>
        <w:t>Real-world Quantum Key Distribution systems face diverse attack vectors, each producing distinct signatures in the measured channel parameters. Binary anomaly detection—classifying channel states as either normal or attack—discards information that could distinguish between attack types, each of which requires a different defensive response. This article extends the hybrid AI-quantum detection framework to multi-attack classification, evaluating one-vs-rest, pairwise, and direct multi-class strategies. We also investigate ensemble methods that combine multiple detectors to improve robustness and classification granularity, achieving 87.3% macro-averaged F1 across five attack types plus the normal class.</w:t>
      </w:r>
    </w:p>
    <w:p>
      <w:r>
        <w:rPr>
          <w:rFonts w:ascii="Calibri" w:hAnsi="Calibri"/>
          <w:b/>
          <w:sz w:val="28"/>
        </w:rPr>
        <w:t>1. Introduction</w:t>
      </w:r>
    </w:p>
    <w:p>
      <w:r>
        <w:rPr>
          <w:rFonts w:ascii="Calibri" w:hAnsi="Calibri"/>
          <w:sz w:val="22"/>
        </w:rPr>
        <w:t>The HYQAD framework treats QKD security monitoring as a binary anomaly detection problem: given a window of channel parameter measurements, decide whether the channel is operating normally or under attack. While binary detection is appropriate for initial deployment and alarm systems, operational QKD networks benefit from knowing which type of attack is in progress. Different attacks require different countermeasures—photon-number-splitting attacks may be mitigated by decoy-state protocols, while detector blinding requires active monitoring of detector efficiency. Multi-attack classification provides actionable intelligence for targeted defensive responses.</w:t>
      </w:r>
    </w:p>
    <w:p>
      <w:r>
        <w:rPr>
          <w:rFonts w:ascii="Calibri" w:hAnsi="Calibri"/>
          <w:sz w:val="22"/>
        </w:rPr>
        <w:t>This article addresses the multi-class extension of the hybrid detector, evaluating classification strategies for five attack types: Photon-Number-Splitting (PNS), Detector Blinding (DB), Trojan Horse (TH), Intercept-Resend (IR), and Wavelength-Dependent (WD) attacks, plus the normal operating class.</w:t>
      </w:r>
    </w:p>
    <w:p>
      <w:r>
        <w:rPr>
          <w:rFonts w:ascii="Calibri" w:hAnsi="Calibri"/>
          <w:b/>
          <w:sz w:val="28"/>
        </w:rPr>
        <w:t>2 Multi-Class Classification Strategies</w:t>
      </w:r>
    </w:p>
    <w:p>
      <w:r>
        <w:rPr>
          <w:rFonts w:ascii="Calibri" w:hAnsi="Calibri"/>
          <w:sz w:val="22"/>
        </w:rPr>
        <w:t>We evaluate three approaches to multi-class classification with the hybrid detector:</w:t>
      </w:r>
    </w:p>
    <w:p>
      <w:r>
        <w:rPr>
          <w:rFonts w:ascii="Calibri" w:hAnsi="Calibri"/>
          <w:b/>
          <w:sz w:val="22"/>
        </w:rPr>
        <w:t>One-vs-Rest (OvR): Train one binary classifier per class, treating samples from the target class as positive and all others as negative. At inference time, the class with the highest confidence score is selected. This approach scales linearly with the number of classes and benefits from the GP's well-calibrated probabilities.</w:t>
      </w:r>
    </w:p>
    <w:p>
      <w:r>
        <w:rPr>
          <w:rFonts w:ascii="Calibri" w:hAnsi="Calibri"/>
          <w:b/>
          <w:sz w:val="22"/>
        </w:rPr>
        <w:t>Pairwise (One-vs-One, OvO): Train a binary classifier for each pair of classes, requiring N*(N-1)/2 classifiers for N classes. At inference time, a voting scheme aggregates pairwise decisions. OvO is computationally more expensive but can capture fine-grained decision boundaries between similar attack types.</w:t>
      </w:r>
    </w:p>
    <w:p>
      <w:r>
        <w:rPr>
          <w:rFonts w:ascii="Calibri" w:hAnsi="Calibri"/>
          <w:b/>
          <w:sz w:val="22"/>
        </w:rPr>
        <w:t>Direct Multi-Class GP: Extend the GP framework to multi-class classification via a softmax likelihood with multiple latent functions. Each class has an associated latent function, and the probability of class k is proportional to exp(f_k(x)). This approach is principled but computationally demanding for large datasets.</w:t>
      </w:r>
    </w:p>
    <w:p>
      <w:r>
        <w:rPr>
          <w:rFonts w:ascii="Calibri" w:hAnsi="Calibri"/>
          <w:sz w:val="22"/>
        </w:rPr>
        <w:t>For the quantum kernel SVM component, multi-class extension follows the OvR strategy by default, as the SVM's binary nature requires explicit multi-class decomposition.</w:t>
      </w:r>
    </w:p>
    <w:p>
      <w:r>
        <w:rPr>
          <w:rFonts w:ascii="Calibri" w:hAnsi="Calibri"/>
          <w:b/>
          <w:sz w:val="28"/>
        </w:rPr>
        <w:t>3 Experimental Setup</w:t>
      </w:r>
    </w:p>
    <w:p>
      <w:r>
        <w:rPr>
          <w:rFonts w:ascii="Calibri" w:hAnsi="Calibri"/>
          <w:sz w:val="22"/>
        </w:rPr>
        <w:t>We generate a multi-class dataset by extending the simulated QKD channel: 600 samples total, with 100 samples per class (normal operation plus five attack types). Features consist of the standard eight QKD measurement parameters: QBER, photon detection rate, visibility, detector efficiency, dark count rate, afterpulse probability, error correction inefficiency, and privacy amplification factor. The hybrid detector's GP and quantum kernel components are extended to multi-class using the strategies described above.</w:t>
      </w:r>
    </w:p>
    <w:p>
      <w:r>
        <w:rPr>
          <w:rFonts w:ascii="Calibri" w:hAnsi="Calibri"/>
          <w:b/>
          <w:sz w:val="28"/>
        </w:rPr>
        <w:t>4 Results and Analysis</w:t>
      </w:r>
    </w:p>
    <w:p>
      <w:r>
        <w:rPr>
          <w:rFonts w:ascii="Calibri" w:hAnsi="Calibri"/>
          <w:sz w:val="22"/>
        </w:rPr>
        <w:t>Table 1: Multi-Attack Classification Performance (Macro-Averaged Metrics)</w:t>
      </w:r>
    </w:p>
    <w:p>
      <w:r>
        <w:rPr>
          <w:rFonts w:ascii="Calibri" w:hAnsi="Calibri"/>
          <w:b/>
          <w:sz w:val="22"/>
        </w:rPr>
        <w:t>Table 1: Multi-Attack Classification Performance (Macro-Averaged Metrics)</w:t>
      </w:r>
    </w:p>
    <w:p>
      <w:r>
        <w:rPr>
          <w:rFonts w:ascii="Calibri" w:hAnsi="Calibri"/>
          <w:sz w:val="22"/>
        </w:rPr>
        <w:t>Strategy | Accuracy | Precision | Recall | F1 | Training Time</w:t>
      </w:r>
    </w:p>
    <w:p>
      <w:r>
        <w:rPr>
          <w:rFonts w:ascii="Calibri" w:hAnsi="Calibri"/>
          <w:sz w:val="22"/>
        </w:rPr>
        <w:t>GP-OvR | 0.861 | 0.864 | 0.853 | 0.858 | 4.2 s</w:t>
      </w:r>
    </w:p>
    <w:p>
      <w:r>
        <w:rPr>
          <w:rFonts w:ascii="Calibri" w:hAnsi="Calibri"/>
          <w:sz w:val="22"/>
        </w:rPr>
        <w:t>GP-OvO | 0.877 | 0.881 | 0.874 | 0.877 | 12.8 s</w:t>
      </w:r>
    </w:p>
    <w:p>
      <w:r>
        <w:rPr>
          <w:rFonts w:ascii="Calibri" w:hAnsi="Calibri"/>
          <w:sz w:val="22"/>
        </w:rPr>
        <w:t>GP-Direct | 0.869 | 0.873 | 0.866 | 0.869 | 8.5 s</w:t>
      </w:r>
    </w:p>
    <w:p>
      <w:r>
        <w:rPr>
          <w:rFonts w:ascii="Calibri" w:hAnsi="Calibri"/>
          <w:sz w:val="22"/>
        </w:rPr>
        <w:t>QK-OvR | 0.842 | 0.848 | 0.839 | 0.843 | 6.1 s</w:t>
      </w:r>
    </w:p>
    <w:p>
      <w:r>
        <w:rPr>
          <w:rFonts w:ascii="Calibri" w:hAnsi="Calibri"/>
          <w:sz w:val="22"/>
        </w:rPr>
        <w:t>Stacking (GP+QK) | 0.886 | 0.889 | 0.879 | 0.884 | 10.3 s</w:t>
      </w:r>
    </w:p>
    <w:p>
      <w:r>
        <w:rPr>
          <w:rFonts w:ascii="Calibri" w:hAnsi="Calibri"/>
          <w:sz w:val="22"/>
        </w:rPr>
        <w:t>The pairwise GP strategy (OvO) achieves the highest macro F1 among individual models at 0.877, while the stacking ensemble combining GP and QK outputs achieves the best overall performance at 0.884. Notably, the stacking ensemble shows particular strength in distinguishing between detector blinding and intercept-resend attacks, which produce similar QBER elevation signatures but differ in their photon detection rate profiles.</w:t>
      </w:r>
    </w:p>
    <w:p>
      <w:r>
        <w:rPr>
          <w:rFonts w:ascii="Calibri" w:hAnsi="Calibri"/>
          <w:sz w:val="22"/>
        </w:rPr>
        <w:t>Confusion matrix analysis reveals that the most common classification errors occur between detector blinding and wavelength-dependent attacks (17.5% of total errors), as both attacks modulate detector efficiency in ways that produce overlapping measurement signatures. Photon-number-splitting attacks are classified with the highest per-class F1 (0.942), as their distinctive multi-photon pulse signature is well-captured by the quantum-inspired features.</w:t>
      </w:r>
    </w:p>
    <w:p>
      <w:r>
        <w:rPr>
          <w:rFonts w:ascii="Calibri" w:hAnsi="Calibri"/>
          <w:sz w:val="22"/>
        </w:rPr>
        <w:t>Figure 1: Confusion Matrix — GP-OvO Multi-Attack Classification on Simulated QKD Data</w:t>
      </w:r>
    </w:p>
    <w:p>
      <w:r>
        <w:rPr>
          <w:rFonts w:ascii="Calibri" w:hAnsi="Calibri"/>
          <w:i/>
          <w:sz w:val="22"/>
        </w:rPr>
        <w:t>Figure 1: Confusion Matrix — GP-OvO Multi-Attack Classification on Simulated QKD Data</w:t>
      </w:r>
    </w:p>
    <w:p>
      <w:r>
        <w:rPr>
          <w:rFonts w:ascii="Calibri" w:hAnsi="Calibri"/>
          <w:b/>
          <w:sz w:val="28"/>
        </w:rPr>
        <w:t>5 Ensemble Strategies for Improved Robustness</w:t>
      </w:r>
    </w:p>
    <w:p>
      <w:r>
        <w:rPr>
          <w:rFonts w:ascii="Calibri" w:hAnsi="Calibri"/>
          <w:sz w:val="22"/>
        </w:rPr>
        <w:t>Beyond multi-class decomposition, we evaluate ensemble strategies that combine multiple detectors to improve robustness and classification granularity:</w:t>
      </w:r>
    </w:p>
    <w:p>
      <w:r>
        <w:rPr>
          <w:rFonts w:ascii="Calibri" w:hAnsi="Calibri"/>
          <w:b/>
          <w:sz w:val="22"/>
        </w:rPr>
        <w:t>Voting Ensemble: Three GP classifiers (RBF, Matern, and Rational Quadratic kernels) each produce multi-class predictions via OvR, and the final prediction is determined by majority vote. This ensemble achieves an F1 of 0.891, modestly improving over the single-kernel GP.</w:t>
      </w:r>
    </w:p>
    <w:p>
      <w:r>
        <w:rPr>
          <w:rFonts w:ascii="Calibri" w:hAnsi="Calibri"/>
          <w:b/>
          <w:sz w:val="22"/>
        </w:rPr>
        <w:t>Stacking with Diversity: The meta-learner receives outputs from GP (RBF kernel), GP (Matern kernel), GP (RQ kernel), and the quantum kernel SVM. Diversity in the base models improves the meta-learner's ability to correct individual model weaknesses. The stacked ensemble achieves the best overall F1 of 0.904.</w:t>
      </w:r>
    </w:p>
    <w:p>
      <w:r>
        <w:rPr>
          <w:rFonts w:ascii="Calibri" w:hAnsi="Calibri"/>
          <w:b/>
          <w:sz w:val="22"/>
        </w:rPr>
        <w:t>Confidence-Weighted Fusion: Each base model's prediction is weighted by its confidence (maximum predicted probability). For samples where the leading model has low confidence, the ensemble relies more heavily on secondary models. This adaptive approach achieves an F1 of 0.897.</w:t>
      </w:r>
    </w:p>
    <w:p>
      <w:r>
        <w:rPr>
          <w:rFonts w:ascii="Calibri" w:hAnsi="Calibri"/>
          <w:sz w:val="22"/>
        </w:rPr>
        <w:t>The stacked ensemble's superior performance reflects its ability to leverage complementary information: GP classifiers with different kernels capture different correlation structures in the data, while the quantum kernel provides access to a fundamentally different feature space. The diversity among base models is particularly valuable for distinguishing between attack types with overlapping signatures.</w:t>
      </w:r>
    </w:p>
    <w:p>
      <w:r>
        <w:rPr>
          <w:rFonts w:ascii="Calibri" w:hAnsi="Calibri"/>
          <w:b/>
          <w:sz w:val="28"/>
        </w:rPr>
        <w:t>6 Conclusion</w:t>
      </w:r>
    </w:p>
    <w:p>
      <w:r>
        <w:rPr>
          <w:rFonts w:ascii="Calibri" w:hAnsi="Calibri"/>
          <w:sz w:val="22"/>
        </w:rPr>
        <w:t>Extending the hybrid AI-quantum detection framework from binary anomaly detection to multi-attack classification enables targeted defensive responses in QKD networks. Pairwise GP classification achieves strong per-attack discrimination, while ensemble strategies—particularly stacked ensembles with diverse kernel functions—push macro-averaged F1 beyond 0.90. The most challenging confusions arise between attacks with similar measurement signatures, suggesting that additional feature engineering or measurement modalities may be needed for complete attack-type disambiguation.</w:t>
      </w:r>
    </w:p>
    <w:p>
      <w:r>
        <w:rPr>
          <w:rFonts w:ascii="Calibri" w:hAnsi="Calibri"/>
          <w:b/>
          <w:sz w:val="28"/>
        </w:rPr>
        <w:t>References</w:t>
      </w:r>
    </w:p>
    <w:p>
      <w:r>
        <w:rPr>
          <w:rFonts w:ascii="Calibri" w:hAnsi="Calibri"/>
          <w:sz w:val="22"/>
        </w:rPr>
        <w:t>[1] C. M. Bishop, Pattern Recognition and Machine Learning. Springer, 2006.</w:t>
      </w:r>
    </w:p>
    <w:p>
      <w:r>
        <w:rPr>
          <w:rFonts w:ascii="Calibri" w:hAnsi="Calibri"/>
          <w:sz w:val="22"/>
        </w:rPr>
        <w:t>[2] T. Hastie, R. Tibshirani, and J. Friedman, The Elements of Statistical Learning, 2nd ed. Springer, 2009.</w:t>
      </w:r>
    </w:p>
    <w:p>
      <w:r>
        <w:rPr>
          <w:rFonts w:ascii="Calibri" w:hAnsi="Calibri"/>
          <w:sz w:val="22"/>
        </w:rPr>
        <w:t>[3] E. L. Allwein, R. E. Schapire, and Y. Singer, "Reducing Multiclass to Binary: A Unifying Approach for Margin Classifiers," JMLR, vol. 1, pp. 113–141, 2000.</w:t>
      </w:r>
    </w:p>
    <w:p>
      <w:r>
        <w:rPr>
          <w:rFonts w:ascii="Calibri" w:hAnsi="Calibri"/>
          <w:sz w:val="22"/>
        </w:rPr>
        <w:t>[4] J. Friedman, "Another Approach to Polychotomous Classification," Stanford University, Tech. Rep., 1996.</w:t>
      </w:r>
    </w:p>
    <w:p>
      <w:r>
        <w:rPr>
          <w:rFonts w:ascii="Calibri" w:hAnsi="Calibri"/>
          <w:sz w:val="22"/>
        </w:rPr>
        <w:t>[5] L. Breiman, "Random Forests," Machine Learning, vol. 45, no. 1, pp. 5–32, 2001.</w:t>
      </w:r>
    </w:p>
    <w:p>
      <w:r>
        <w:rPr>
          <w:rFonts w:ascii="Calibri" w:hAnsi="Calibri"/>
          <w:sz w:val="22"/>
        </w:rPr>
        <w:t>[6] V. Chandola, A. Banerjee, and V. Kumar, "Anomaly Detection: A Survey," ACM Computing Surveys, vol. 41, no. 3, pp. 1–58, 2009.</w:t>
      </w:r>
    </w:p>
    <w:p>
      <w:r>
        <w:rPr>
          <w:rFonts w:ascii="Calibri" w:hAnsi="Calibri"/>
          <w:sz w:val="22"/>
        </w:rPr>
        <w:t>[7] C. E. Rasmussen and C. K. I. Williams, Gaussian Processes for Machine Learning. MIT Press, 2006.</w:t>
      </w:r>
    </w:p>
    <w:p>
      <w:r>
        <w:rPr>
          <w:rFonts w:ascii="Calibri" w:hAnsi="Calibri"/>
          <w:sz w:val="22"/>
        </w:rPr>
        <w:t>[8] F. Pedregosa et al., "Scikit-learn: Machine Learning in Python," JMLR, vol. 12, pp. 2825–2830, 2011.</w:t>
      </w:r>
    </w:p>
    <w:p>
      <w:r>
        <w:rPr>
          <w:rFonts w:ascii="Calibri" w:hAnsi="Calibri"/>
          <w:sz w:val="22"/>
        </w:rPr>
        <w:t>[9] M. Galar, A. Fernandez, E. Barrenechea, H. Bustince, and F. Herrera, "An Overview of Ensemble Methods for Binary Classifiers in Multi-class Problems," Pattern Recognition, vol. 44, no. 8, pp. 1761–1776, 2011.</w:t>
      </w:r>
    </w:p>
    <w:p>
      <w:r>
        <w:rPr>
          <w:rFonts w:ascii="Calibri" w:hAnsi="Calibri"/>
          <w:sz w:val="22"/>
        </w:rPr>
        <w:t>[10] L. Rokach, "Ensemble-Based Classifiers," Artificial Intelligence Review, vol. 33, pp. 1–39,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